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AFA2" w14:textId="2DB39A82" w:rsidR="00AB63F4" w:rsidRPr="00DF3DB1" w:rsidRDefault="00AB63F4" w:rsidP="00AB63F4">
      <w:pPr>
        <w:spacing w:after="0" w:line="240" w:lineRule="auto"/>
        <w:jc w:val="center"/>
        <w:rPr>
          <w:rFonts w:ascii="Arial" w:hAnsi="Arial" w:cs="Arial"/>
          <w:b/>
          <w:sz w:val="26"/>
          <w:szCs w:val="26"/>
        </w:rPr>
      </w:pPr>
      <w:r w:rsidRPr="00DF3DB1">
        <w:rPr>
          <w:noProof/>
          <w:sz w:val="26"/>
          <w:szCs w:val="26"/>
          <w:lang w:eastAsia="en-GB"/>
        </w:rPr>
        <w:drawing>
          <wp:anchor distT="0" distB="0" distL="114300" distR="114300" simplePos="0" relativeHeight="251660288" behindDoc="0" locked="0" layoutInCell="1" allowOverlap="1" wp14:anchorId="3025077F" wp14:editId="4CBD2440">
            <wp:simplePos x="0" y="0"/>
            <wp:positionH relativeFrom="column">
              <wp:posOffset>8342630</wp:posOffset>
            </wp:positionH>
            <wp:positionV relativeFrom="paragraph">
              <wp:posOffset>-89535</wp:posOffset>
            </wp:positionV>
            <wp:extent cx="1029844" cy="807720"/>
            <wp:effectExtent l="0" t="0" r="0" b="0"/>
            <wp:wrapNone/>
            <wp:docPr id="1" name="3 colour port logos crop.jpg"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Sheffield City Council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l="78462" r="7179" b="45000"/>
                    <a:stretch/>
                  </pic:blipFill>
                  <pic:spPr bwMode="auto">
                    <a:xfrm>
                      <a:off x="0" y="0"/>
                      <a:ext cx="1029844"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3DB1">
        <w:rPr>
          <w:rFonts w:ascii="Arial" w:hAnsi="Arial" w:cs="Arial"/>
          <w:b/>
          <w:sz w:val="26"/>
          <w:szCs w:val="26"/>
        </w:rPr>
        <w:t>Locality SEND Processes:</w:t>
      </w:r>
    </w:p>
    <w:p w14:paraId="2D87D8DB" w14:textId="77777777" w:rsidR="00AB63F4" w:rsidRPr="00DF3DB1" w:rsidRDefault="00AB63F4" w:rsidP="00AB63F4">
      <w:pPr>
        <w:spacing w:after="0" w:line="240" w:lineRule="auto"/>
        <w:jc w:val="center"/>
        <w:rPr>
          <w:color w:val="FF0000"/>
          <w:sz w:val="26"/>
          <w:szCs w:val="26"/>
        </w:rPr>
      </w:pPr>
      <w:r w:rsidRPr="00DF3DB1">
        <w:rPr>
          <w:rFonts w:ascii="Arial" w:hAnsi="Arial" w:cs="Arial"/>
          <w:b/>
          <w:sz w:val="26"/>
          <w:szCs w:val="26"/>
        </w:rPr>
        <w:t>Consultation, Extended Support Plan QA and Panel Assessment</w:t>
      </w:r>
    </w:p>
    <w:p w14:paraId="74CA04D7" w14:textId="77777777" w:rsidR="00AB63F4" w:rsidRPr="00DF3DB1" w:rsidRDefault="00AB63F4" w:rsidP="00AB63F4">
      <w:pPr>
        <w:spacing w:after="0" w:line="240" w:lineRule="auto"/>
        <w:ind w:right="775"/>
        <w:rPr>
          <w:rFonts w:ascii="Arial" w:hAnsi="Arial" w:cs="Arial"/>
          <w:sz w:val="16"/>
          <w:szCs w:val="16"/>
        </w:rPr>
      </w:pPr>
    </w:p>
    <w:p w14:paraId="0DD68E33" w14:textId="3C99D696" w:rsidR="00C761E2" w:rsidRPr="00AB63F4" w:rsidRDefault="001B15C4" w:rsidP="00AB63F4">
      <w:pPr>
        <w:spacing w:after="0" w:line="240" w:lineRule="auto"/>
        <w:ind w:right="775"/>
        <w:rPr>
          <w:rFonts w:ascii="Arial" w:hAnsi="Arial" w:cs="Arial"/>
        </w:rPr>
      </w:pPr>
      <w:r w:rsidRPr="00AB63F4">
        <w:rPr>
          <w:rFonts w:ascii="Arial" w:hAnsi="Arial" w:cs="Arial"/>
        </w:rPr>
        <w:t xml:space="preserve">The below process has been designed by locality lead head teachers and Sheffield City Council </w:t>
      </w:r>
      <w:proofErr w:type="gramStart"/>
      <w:r w:rsidRPr="00AB63F4">
        <w:rPr>
          <w:rFonts w:ascii="Arial" w:hAnsi="Arial" w:cs="Arial"/>
        </w:rPr>
        <w:t>in order to</w:t>
      </w:r>
      <w:proofErr w:type="gramEnd"/>
      <w:r w:rsidRPr="00AB63F4">
        <w:rPr>
          <w:rFonts w:ascii="Arial" w:hAnsi="Arial" w:cs="Arial"/>
        </w:rPr>
        <w:t xml:space="preserve"> gain consistency across all localities so that professionals work collaboratively to meet the needs of children and young people with SEND in the most effective way.  These processes will support schools and families to ensure quality assurance and consistency when making requests for EHC need assessments. </w:t>
      </w:r>
    </w:p>
    <w:p w14:paraId="04EE3E72" w14:textId="77777777" w:rsidR="00AB63F4" w:rsidRPr="00DF3DB1" w:rsidRDefault="00AB63F4" w:rsidP="00AB63F4">
      <w:pPr>
        <w:spacing w:after="0" w:line="240" w:lineRule="auto"/>
        <w:ind w:right="775"/>
        <w:rPr>
          <w:sz w:val="20"/>
          <w:szCs w:val="20"/>
        </w:rPr>
      </w:pPr>
    </w:p>
    <w:tbl>
      <w:tblPr>
        <w:tblStyle w:val="TableGrid"/>
        <w:tblW w:w="13944" w:type="dxa"/>
        <w:tblLook w:val="04A0" w:firstRow="1" w:lastRow="0" w:firstColumn="1" w:lastColumn="0" w:noHBand="0" w:noVBand="1"/>
      </w:tblPr>
      <w:tblGrid>
        <w:gridCol w:w="498"/>
        <w:gridCol w:w="284"/>
        <w:gridCol w:w="2116"/>
        <w:gridCol w:w="284"/>
        <w:gridCol w:w="1830"/>
        <w:gridCol w:w="283"/>
        <w:gridCol w:w="3236"/>
        <w:gridCol w:w="236"/>
        <w:gridCol w:w="2441"/>
        <w:gridCol w:w="236"/>
        <w:gridCol w:w="2500"/>
      </w:tblGrid>
      <w:tr w:rsidR="005C78AA" w14:paraId="7DDC1916" w14:textId="77777777" w:rsidTr="00820DCB">
        <w:trPr>
          <w:cantSplit/>
          <w:trHeight w:val="3763"/>
        </w:trPr>
        <w:tc>
          <w:tcPr>
            <w:tcW w:w="498" w:type="dxa"/>
            <w:tcBorders>
              <w:top w:val="single" w:sz="4" w:space="0" w:color="auto"/>
              <w:left w:val="single" w:sz="4" w:space="0" w:color="auto"/>
              <w:bottom w:val="single" w:sz="4" w:space="0" w:color="auto"/>
              <w:right w:val="single" w:sz="4" w:space="0" w:color="auto"/>
            </w:tcBorders>
            <w:shd w:val="clear" w:color="auto" w:fill="C5D3FF"/>
            <w:textDirection w:val="btLr"/>
          </w:tcPr>
          <w:p w14:paraId="3E583D57" w14:textId="4FF0CB72" w:rsidR="0070470C" w:rsidRPr="0070470C" w:rsidRDefault="0070470C" w:rsidP="0070470C">
            <w:pPr>
              <w:ind w:left="113" w:right="113"/>
              <w:jc w:val="center"/>
              <w:rPr>
                <w:b/>
                <w:bCs/>
              </w:rPr>
            </w:pPr>
            <w:r w:rsidRPr="0070470C">
              <w:rPr>
                <w:b/>
                <w:bCs/>
              </w:rPr>
              <w:t>STAGE 1</w:t>
            </w:r>
          </w:p>
        </w:tc>
        <w:tc>
          <w:tcPr>
            <w:tcW w:w="284" w:type="dxa"/>
            <w:tcBorders>
              <w:top w:val="nil"/>
              <w:left w:val="single" w:sz="4" w:space="0" w:color="auto"/>
              <w:bottom w:val="nil"/>
              <w:right w:val="single" w:sz="4" w:space="0" w:color="auto"/>
            </w:tcBorders>
          </w:tcPr>
          <w:p w14:paraId="5A36064D" w14:textId="77777777" w:rsidR="0070470C" w:rsidRDefault="0070470C"/>
        </w:tc>
        <w:tc>
          <w:tcPr>
            <w:tcW w:w="2116" w:type="dxa"/>
            <w:tcBorders>
              <w:top w:val="single" w:sz="4" w:space="0" w:color="auto"/>
              <w:left w:val="single" w:sz="4" w:space="0" w:color="auto"/>
              <w:bottom w:val="single" w:sz="4" w:space="0" w:color="auto"/>
              <w:right w:val="single" w:sz="4" w:space="0" w:color="auto"/>
            </w:tcBorders>
            <w:shd w:val="clear" w:color="auto" w:fill="C5D3FF"/>
          </w:tcPr>
          <w:p w14:paraId="5A0AFF30" w14:textId="17F5D975" w:rsidR="0070470C" w:rsidRPr="005C78AA" w:rsidRDefault="0070470C">
            <w:pPr>
              <w:rPr>
                <w:b/>
                <w:bCs/>
                <w:sz w:val="13"/>
                <w:szCs w:val="13"/>
              </w:rPr>
            </w:pPr>
            <w:r w:rsidRPr="005C78AA">
              <w:rPr>
                <w:b/>
                <w:bCs/>
                <w:sz w:val="13"/>
                <w:szCs w:val="13"/>
              </w:rPr>
              <w:t xml:space="preserve">CONSULTATION &amp; QUALITY ASSURANCE OF </w:t>
            </w:r>
            <w:r w:rsidR="00C452F1">
              <w:rPr>
                <w:b/>
                <w:bCs/>
                <w:sz w:val="13"/>
                <w:szCs w:val="13"/>
              </w:rPr>
              <w:t>EXSP</w:t>
            </w:r>
            <w:r w:rsidRPr="005C78AA">
              <w:rPr>
                <w:b/>
                <w:bCs/>
                <w:sz w:val="13"/>
                <w:szCs w:val="13"/>
              </w:rPr>
              <w:t>:</w:t>
            </w:r>
          </w:p>
          <w:p w14:paraId="019275AB" w14:textId="77777777" w:rsidR="0070470C" w:rsidRPr="005C78AA" w:rsidRDefault="0070470C">
            <w:pPr>
              <w:rPr>
                <w:b/>
                <w:bCs/>
                <w:sz w:val="13"/>
                <w:szCs w:val="13"/>
              </w:rPr>
            </w:pPr>
          </w:p>
          <w:p w14:paraId="2F3FDCAD" w14:textId="77777777" w:rsidR="0070470C" w:rsidRPr="005C78AA" w:rsidRDefault="0070470C">
            <w:pPr>
              <w:rPr>
                <w:b/>
                <w:bCs/>
                <w:sz w:val="13"/>
                <w:szCs w:val="13"/>
              </w:rPr>
            </w:pPr>
            <w:r w:rsidRPr="005C78AA">
              <w:rPr>
                <w:b/>
                <w:bCs/>
                <w:sz w:val="13"/>
                <w:szCs w:val="13"/>
              </w:rPr>
              <w:t>Consultation:</w:t>
            </w:r>
          </w:p>
          <w:p w14:paraId="76D0AEB3" w14:textId="77777777" w:rsidR="0070470C" w:rsidRPr="005C78AA" w:rsidRDefault="0070470C" w:rsidP="0070470C">
            <w:pPr>
              <w:pStyle w:val="ListParagraph"/>
              <w:numPr>
                <w:ilvl w:val="0"/>
                <w:numId w:val="1"/>
              </w:numPr>
              <w:ind w:left="98" w:hanging="98"/>
              <w:rPr>
                <w:sz w:val="13"/>
                <w:szCs w:val="13"/>
              </w:rPr>
            </w:pPr>
            <w:r w:rsidRPr="005C78AA">
              <w:rPr>
                <w:sz w:val="13"/>
                <w:szCs w:val="13"/>
              </w:rPr>
              <w:t>To talk about children with high level needs who may require more support</w:t>
            </w:r>
          </w:p>
          <w:p w14:paraId="3F6F0CC1" w14:textId="2D10B2FE" w:rsidR="0070470C" w:rsidRPr="005C78AA" w:rsidRDefault="0070470C" w:rsidP="0070470C">
            <w:pPr>
              <w:pStyle w:val="ListParagraph"/>
              <w:numPr>
                <w:ilvl w:val="0"/>
                <w:numId w:val="1"/>
              </w:numPr>
              <w:ind w:left="98" w:hanging="98"/>
              <w:rPr>
                <w:b/>
                <w:bCs/>
                <w:sz w:val="13"/>
                <w:szCs w:val="13"/>
              </w:rPr>
            </w:pPr>
            <w:r w:rsidRPr="005C78AA">
              <w:rPr>
                <w:sz w:val="13"/>
                <w:szCs w:val="13"/>
              </w:rPr>
              <w:t>For advice, signposting, review of child’s SSG level, identifying gaps – and how to fill them</w:t>
            </w:r>
          </w:p>
          <w:p w14:paraId="2B33D43D" w14:textId="77777777" w:rsidR="0070470C" w:rsidRPr="005C78AA" w:rsidRDefault="0070470C" w:rsidP="0070470C">
            <w:pPr>
              <w:rPr>
                <w:b/>
                <w:bCs/>
                <w:sz w:val="13"/>
                <w:szCs w:val="13"/>
              </w:rPr>
            </w:pPr>
          </w:p>
          <w:p w14:paraId="1A902744" w14:textId="403440DA" w:rsidR="0070470C" w:rsidRPr="005C78AA" w:rsidRDefault="0070470C" w:rsidP="0070470C">
            <w:pPr>
              <w:rPr>
                <w:b/>
                <w:bCs/>
                <w:sz w:val="13"/>
                <w:szCs w:val="13"/>
              </w:rPr>
            </w:pPr>
            <w:r w:rsidRPr="005C78AA">
              <w:rPr>
                <w:b/>
                <w:bCs/>
                <w:sz w:val="13"/>
                <w:szCs w:val="13"/>
              </w:rPr>
              <w:t xml:space="preserve">Quality assurance of </w:t>
            </w:r>
            <w:r w:rsidR="002F6B78">
              <w:rPr>
                <w:b/>
                <w:bCs/>
                <w:sz w:val="13"/>
                <w:szCs w:val="13"/>
              </w:rPr>
              <w:t>EXSP</w:t>
            </w:r>
            <w:r w:rsidRPr="005C78AA">
              <w:rPr>
                <w:b/>
                <w:bCs/>
                <w:sz w:val="13"/>
                <w:szCs w:val="13"/>
              </w:rPr>
              <w:t>:</w:t>
            </w:r>
          </w:p>
          <w:p w14:paraId="6B677B59" w14:textId="27B5AF67" w:rsidR="0070470C" w:rsidRPr="005C78AA" w:rsidRDefault="0070470C" w:rsidP="005C78AA">
            <w:pPr>
              <w:pStyle w:val="ListParagraph"/>
              <w:numPr>
                <w:ilvl w:val="0"/>
                <w:numId w:val="2"/>
              </w:numPr>
              <w:ind w:left="98" w:hanging="98"/>
              <w:rPr>
                <w:sz w:val="13"/>
                <w:szCs w:val="13"/>
              </w:rPr>
            </w:pPr>
            <w:r w:rsidRPr="005C78AA">
              <w:rPr>
                <w:sz w:val="13"/>
                <w:szCs w:val="13"/>
              </w:rPr>
              <w:t>To review</w:t>
            </w:r>
            <w:r w:rsidR="001A3966">
              <w:rPr>
                <w:sz w:val="13"/>
                <w:szCs w:val="13"/>
              </w:rPr>
              <w:t xml:space="preserve"> Extended Support Plans (EXSP</w:t>
            </w:r>
            <w:r w:rsidR="002C7E40">
              <w:rPr>
                <w:sz w:val="13"/>
                <w:szCs w:val="13"/>
              </w:rPr>
              <w:t>)</w:t>
            </w:r>
            <w:r w:rsidRPr="005C78AA">
              <w:rPr>
                <w:sz w:val="13"/>
                <w:szCs w:val="13"/>
              </w:rPr>
              <w:t xml:space="preserve"> where an EHC assessment is being considered</w:t>
            </w:r>
          </w:p>
          <w:p w14:paraId="43E98E47" w14:textId="6A50550A" w:rsidR="0070470C" w:rsidRPr="005C78AA" w:rsidRDefault="0070470C" w:rsidP="005C78AA">
            <w:pPr>
              <w:pStyle w:val="ListParagraph"/>
              <w:numPr>
                <w:ilvl w:val="0"/>
                <w:numId w:val="2"/>
              </w:numPr>
              <w:ind w:left="98" w:hanging="98"/>
              <w:rPr>
                <w:sz w:val="13"/>
                <w:szCs w:val="13"/>
              </w:rPr>
            </w:pPr>
            <w:r w:rsidRPr="005C78AA">
              <w:rPr>
                <w:sz w:val="13"/>
                <w:szCs w:val="13"/>
              </w:rPr>
              <w:t xml:space="preserve">Ensure </w:t>
            </w:r>
            <w:r w:rsidR="002C7E40">
              <w:rPr>
                <w:sz w:val="13"/>
                <w:szCs w:val="13"/>
              </w:rPr>
              <w:t>EXSP</w:t>
            </w:r>
            <w:r w:rsidRPr="005C78AA">
              <w:rPr>
                <w:sz w:val="13"/>
                <w:szCs w:val="13"/>
              </w:rPr>
              <w:t xml:space="preserve"> includes all relevant information</w:t>
            </w:r>
          </w:p>
          <w:p w14:paraId="659C8DB0" w14:textId="36BFDB99" w:rsidR="0070470C" w:rsidRPr="005C78AA" w:rsidRDefault="0070470C" w:rsidP="005C78AA">
            <w:pPr>
              <w:pStyle w:val="ListParagraph"/>
              <w:numPr>
                <w:ilvl w:val="0"/>
                <w:numId w:val="2"/>
              </w:numPr>
              <w:ind w:left="98" w:hanging="98"/>
              <w:rPr>
                <w:b/>
                <w:bCs/>
                <w:sz w:val="13"/>
                <w:szCs w:val="13"/>
              </w:rPr>
            </w:pPr>
            <w:r w:rsidRPr="005C78AA">
              <w:rPr>
                <w:sz w:val="13"/>
                <w:szCs w:val="13"/>
              </w:rPr>
              <w:t>Collectively consider: Have relevant specialists been involved? Has their advice been implemented?</w:t>
            </w:r>
            <w:r w:rsidR="005C78AA" w:rsidRPr="005C78AA">
              <w:rPr>
                <w:sz w:val="13"/>
                <w:szCs w:val="13"/>
              </w:rPr>
              <w:t xml:space="preserve"> Has enough time been given to assess impacts?</w:t>
            </w:r>
          </w:p>
        </w:tc>
        <w:tc>
          <w:tcPr>
            <w:tcW w:w="284" w:type="dxa"/>
            <w:tcBorders>
              <w:top w:val="nil"/>
              <w:left w:val="single" w:sz="4" w:space="0" w:color="auto"/>
              <w:bottom w:val="nil"/>
              <w:right w:val="single" w:sz="4" w:space="0" w:color="auto"/>
            </w:tcBorders>
          </w:tcPr>
          <w:p w14:paraId="41F49159" w14:textId="77777777" w:rsidR="0070470C" w:rsidRDefault="0070470C"/>
        </w:tc>
        <w:tc>
          <w:tcPr>
            <w:tcW w:w="1830" w:type="dxa"/>
            <w:tcBorders>
              <w:top w:val="single" w:sz="4" w:space="0" w:color="auto"/>
              <w:left w:val="single" w:sz="4" w:space="0" w:color="auto"/>
              <w:bottom w:val="single" w:sz="4" w:space="0" w:color="auto"/>
              <w:right w:val="single" w:sz="4" w:space="0" w:color="auto"/>
            </w:tcBorders>
            <w:shd w:val="clear" w:color="auto" w:fill="C5D3FF"/>
          </w:tcPr>
          <w:p w14:paraId="02171160" w14:textId="77777777" w:rsidR="0070470C" w:rsidRDefault="0071153D">
            <w:pPr>
              <w:rPr>
                <w:b/>
                <w:bCs/>
                <w:sz w:val="13"/>
                <w:szCs w:val="13"/>
              </w:rPr>
            </w:pPr>
            <w:r w:rsidRPr="0071153D">
              <w:rPr>
                <w:b/>
                <w:bCs/>
                <w:sz w:val="13"/>
                <w:szCs w:val="13"/>
              </w:rPr>
              <w:t>WHO IS INVOLVED:</w:t>
            </w:r>
          </w:p>
          <w:p w14:paraId="1FF70A1D" w14:textId="0405221E" w:rsidR="00713B89" w:rsidRPr="000E6612" w:rsidRDefault="00713B89" w:rsidP="00713B89">
            <w:pPr>
              <w:pStyle w:val="ListParagraph"/>
              <w:numPr>
                <w:ilvl w:val="0"/>
                <w:numId w:val="1"/>
              </w:numPr>
              <w:ind w:left="98" w:hanging="98"/>
              <w:rPr>
                <w:b/>
                <w:bCs/>
                <w:sz w:val="13"/>
                <w:szCs w:val="13"/>
              </w:rPr>
            </w:pPr>
            <w:r>
              <w:rPr>
                <w:sz w:val="13"/>
                <w:szCs w:val="13"/>
              </w:rPr>
              <w:t>SENCOs</w:t>
            </w:r>
          </w:p>
          <w:p w14:paraId="3B0C4973" w14:textId="77777777" w:rsidR="00713B89" w:rsidRDefault="00713B89" w:rsidP="00713B89">
            <w:pPr>
              <w:pStyle w:val="ListParagraph"/>
              <w:numPr>
                <w:ilvl w:val="0"/>
                <w:numId w:val="1"/>
              </w:numPr>
              <w:ind w:left="98" w:hanging="98"/>
              <w:rPr>
                <w:sz w:val="13"/>
                <w:szCs w:val="13"/>
              </w:rPr>
            </w:pPr>
            <w:r>
              <w:rPr>
                <w:sz w:val="13"/>
                <w:szCs w:val="13"/>
              </w:rPr>
              <w:t>Lead SENCO</w:t>
            </w:r>
          </w:p>
          <w:p w14:paraId="5E78D933" w14:textId="194A1E5F" w:rsidR="00713B89" w:rsidRPr="0071153D" w:rsidRDefault="00713B89" w:rsidP="00713B89">
            <w:pPr>
              <w:pStyle w:val="ListParagraph"/>
              <w:numPr>
                <w:ilvl w:val="0"/>
                <w:numId w:val="1"/>
              </w:numPr>
              <w:ind w:left="98" w:hanging="98"/>
              <w:rPr>
                <w:b/>
                <w:bCs/>
                <w:sz w:val="13"/>
                <w:szCs w:val="13"/>
              </w:rPr>
            </w:pPr>
            <w:r>
              <w:rPr>
                <w:sz w:val="13"/>
                <w:szCs w:val="13"/>
              </w:rPr>
              <w:t>Educational Psychologist</w:t>
            </w:r>
          </w:p>
        </w:tc>
        <w:tc>
          <w:tcPr>
            <w:tcW w:w="283" w:type="dxa"/>
            <w:tcBorders>
              <w:top w:val="nil"/>
              <w:left w:val="single" w:sz="4" w:space="0" w:color="auto"/>
              <w:bottom w:val="nil"/>
              <w:right w:val="single" w:sz="4" w:space="0" w:color="auto"/>
            </w:tcBorders>
          </w:tcPr>
          <w:p w14:paraId="5D315982" w14:textId="77777777" w:rsidR="0070470C" w:rsidRDefault="0070470C"/>
        </w:tc>
        <w:tc>
          <w:tcPr>
            <w:tcW w:w="3236" w:type="dxa"/>
            <w:tcBorders>
              <w:top w:val="single" w:sz="4" w:space="0" w:color="auto"/>
              <w:left w:val="single" w:sz="4" w:space="0" w:color="auto"/>
              <w:bottom w:val="single" w:sz="4" w:space="0" w:color="auto"/>
              <w:right w:val="single" w:sz="4" w:space="0" w:color="auto"/>
            </w:tcBorders>
            <w:shd w:val="clear" w:color="auto" w:fill="C5D3FF"/>
          </w:tcPr>
          <w:p w14:paraId="350B04BF" w14:textId="412E8B92" w:rsidR="00024AC6" w:rsidRPr="005C78AA" w:rsidRDefault="00BC5039" w:rsidP="00024AC6">
            <w:pPr>
              <w:rPr>
                <w:b/>
                <w:bCs/>
                <w:sz w:val="13"/>
                <w:szCs w:val="13"/>
              </w:rPr>
            </w:pPr>
            <w:r>
              <w:rPr>
                <w:b/>
                <w:bCs/>
                <w:sz w:val="13"/>
                <w:szCs w:val="13"/>
              </w:rPr>
              <w:t>EVIDENCE THAT NEEDS TO BE BROUGHT BY SCHOOLS</w:t>
            </w:r>
            <w:r w:rsidR="00024AC6" w:rsidRPr="005C78AA">
              <w:rPr>
                <w:b/>
                <w:bCs/>
                <w:sz w:val="13"/>
                <w:szCs w:val="13"/>
              </w:rPr>
              <w:t>:</w:t>
            </w:r>
          </w:p>
          <w:p w14:paraId="02C1E07E" w14:textId="77777777" w:rsidR="00024AC6" w:rsidRPr="005C78AA" w:rsidRDefault="00024AC6" w:rsidP="00024AC6">
            <w:pPr>
              <w:rPr>
                <w:b/>
                <w:bCs/>
                <w:sz w:val="13"/>
                <w:szCs w:val="13"/>
              </w:rPr>
            </w:pPr>
          </w:p>
          <w:p w14:paraId="62CDF1BA" w14:textId="7345953F" w:rsidR="00024AC6" w:rsidRPr="005C78AA" w:rsidRDefault="00BC5039" w:rsidP="00024AC6">
            <w:pPr>
              <w:rPr>
                <w:b/>
                <w:bCs/>
                <w:sz w:val="13"/>
                <w:szCs w:val="13"/>
              </w:rPr>
            </w:pPr>
            <w:r>
              <w:rPr>
                <w:b/>
                <w:bCs/>
                <w:sz w:val="13"/>
                <w:szCs w:val="13"/>
              </w:rPr>
              <w:t xml:space="preserve">For </w:t>
            </w:r>
            <w:r w:rsidR="00024AC6" w:rsidRPr="005C78AA">
              <w:rPr>
                <w:b/>
                <w:bCs/>
                <w:sz w:val="13"/>
                <w:szCs w:val="13"/>
              </w:rPr>
              <w:t>Consultation:</w:t>
            </w:r>
          </w:p>
          <w:p w14:paraId="11BF5001" w14:textId="1DAD7A18" w:rsidR="00024AC6" w:rsidRPr="005C78AA" w:rsidRDefault="00BC5039" w:rsidP="00024AC6">
            <w:pPr>
              <w:pStyle w:val="ListParagraph"/>
              <w:numPr>
                <w:ilvl w:val="0"/>
                <w:numId w:val="1"/>
              </w:numPr>
              <w:ind w:left="98" w:hanging="98"/>
              <w:rPr>
                <w:sz w:val="13"/>
                <w:szCs w:val="13"/>
              </w:rPr>
            </w:pPr>
            <w:r>
              <w:rPr>
                <w:sz w:val="13"/>
                <w:szCs w:val="13"/>
              </w:rPr>
              <w:t>Locality SEND Processes – Stage 1 Consultation</w:t>
            </w:r>
            <w:r w:rsidR="00DC2EE0">
              <w:rPr>
                <w:sz w:val="13"/>
                <w:szCs w:val="13"/>
              </w:rPr>
              <w:t xml:space="preserve"> form explaining why case is being brought to the meeting</w:t>
            </w:r>
          </w:p>
          <w:p w14:paraId="736D0243" w14:textId="081BC993" w:rsidR="00024AC6" w:rsidRPr="000E6612" w:rsidRDefault="00DC2EE0" w:rsidP="00024AC6">
            <w:pPr>
              <w:pStyle w:val="ListParagraph"/>
              <w:numPr>
                <w:ilvl w:val="0"/>
                <w:numId w:val="1"/>
              </w:numPr>
              <w:ind w:left="98" w:hanging="98"/>
              <w:rPr>
                <w:b/>
                <w:bCs/>
                <w:sz w:val="13"/>
                <w:szCs w:val="13"/>
              </w:rPr>
            </w:pPr>
            <w:r>
              <w:rPr>
                <w:sz w:val="13"/>
                <w:szCs w:val="13"/>
              </w:rPr>
              <w:t>SSGe level</w:t>
            </w:r>
          </w:p>
          <w:p w14:paraId="1A94F377" w14:textId="47769242" w:rsidR="000E6612" w:rsidRDefault="000E6612" w:rsidP="00024AC6">
            <w:pPr>
              <w:pStyle w:val="ListParagraph"/>
              <w:numPr>
                <w:ilvl w:val="0"/>
                <w:numId w:val="1"/>
              </w:numPr>
              <w:ind w:left="98" w:hanging="98"/>
              <w:rPr>
                <w:sz w:val="13"/>
                <w:szCs w:val="13"/>
              </w:rPr>
            </w:pPr>
            <w:r w:rsidRPr="000E6612">
              <w:rPr>
                <w:sz w:val="13"/>
                <w:szCs w:val="13"/>
              </w:rPr>
              <w:t>Current provision map</w:t>
            </w:r>
          </w:p>
          <w:p w14:paraId="67D7FDA7" w14:textId="2695A729" w:rsidR="000E6612" w:rsidRDefault="000E6612" w:rsidP="00024AC6">
            <w:pPr>
              <w:pStyle w:val="ListParagraph"/>
              <w:numPr>
                <w:ilvl w:val="0"/>
                <w:numId w:val="1"/>
              </w:numPr>
              <w:ind w:left="98" w:hanging="98"/>
              <w:rPr>
                <w:sz w:val="13"/>
                <w:szCs w:val="13"/>
              </w:rPr>
            </w:pPr>
            <w:r>
              <w:rPr>
                <w:sz w:val="13"/>
                <w:szCs w:val="13"/>
              </w:rPr>
              <w:t>Graduated approach paperwork</w:t>
            </w:r>
          </w:p>
          <w:p w14:paraId="1FE54D22" w14:textId="2F16B783" w:rsidR="000E6612" w:rsidRDefault="000E6612" w:rsidP="00024AC6">
            <w:pPr>
              <w:pStyle w:val="ListParagraph"/>
              <w:numPr>
                <w:ilvl w:val="0"/>
                <w:numId w:val="1"/>
              </w:numPr>
              <w:ind w:left="98" w:hanging="98"/>
              <w:rPr>
                <w:sz w:val="13"/>
                <w:szCs w:val="13"/>
              </w:rPr>
            </w:pPr>
            <w:r>
              <w:rPr>
                <w:sz w:val="13"/>
                <w:szCs w:val="13"/>
              </w:rPr>
              <w:t>Review documentation</w:t>
            </w:r>
          </w:p>
          <w:p w14:paraId="0FCEE39E" w14:textId="2902F6AE" w:rsidR="000E6612" w:rsidRPr="000E6612" w:rsidRDefault="000E6612" w:rsidP="00024AC6">
            <w:pPr>
              <w:pStyle w:val="ListParagraph"/>
              <w:numPr>
                <w:ilvl w:val="0"/>
                <w:numId w:val="1"/>
              </w:numPr>
              <w:ind w:left="98" w:hanging="98"/>
              <w:rPr>
                <w:sz w:val="13"/>
                <w:szCs w:val="13"/>
              </w:rPr>
            </w:pPr>
            <w:r>
              <w:rPr>
                <w:sz w:val="13"/>
                <w:szCs w:val="13"/>
              </w:rPr>
              <w:t>Any relevant assessments</w:t>
            </w:r>
          </w:p>
          <w:p w14:paraId="37FCC49E" w14:textId="77777777" w:rsidR="00024AC6" w:rsidRPr="005C78AA" w:rsidRDefault="00024AC6" w:rsidP="00024AC6">
            <w:pPr>
              <w:rPr>
                <w:b/>
                <w:bCs/>
                <w:sz w:val="13"/>
                <w:szCs w:val="13"/>
              </w:rPr>
            </w:pPr>
          </w:p>
          <w:p w14:paraId="770FBA09" w14:textId="4FFB2E3F" w:rsidR="00024AC6" w:rsidRPr="001578FF" w:rsidRDefault="000E6612" w:rsidP="00024AC6">
            <w:pPr>
              <w:rPr>
                <w:b/>
                <w:bCs/>
                <w:sz w:val="13"/>
                <w:szCs w:val="13"/>
              </w:rPr>
            </w:pPr>
            <w:r w:rsidRPr="001578FF">
              <w:rPr>
                <w:b/>
                <w:bCs/>
                <w:sz w:val="13"/>
                <w:szCs w:val="13"/>
              </w:rPr>
              <w:t xml:space="preserve">For quality assurance of </w:t>
            </w:r>
            <w:r w:rsidR="002F6B78">
              <w:rPr>
                <w:b/>
                <w:bCs/>
                <w:sz w:val="13"/>
                <w:szCs w:val="13"/>
              </w:rPr>
              <w:t>EXSP</w:t>
            </w:r>
            <w:r w:rsidRPr="001578FF">
              <w:rPr>
                <w:b/>
                <w:bCs/>
                <w:sz w:val="13"/>
                <w:szCs w:val="13"/>
              </w:rPr>
              <w:t>:</w:t>
            </w:r>
          </w:p>
          <w:p w14:paraId="3160E6E7" w14:textId="33E37842" w:rsidR="00024AC6" w:rsidRDefault="00AF18B5" w:rsidP="00024AC6">
            <w:pPr>
              <w:pStyle w:val="ListParagraph"/>
              <w:numPr>
                <w:ilvl w:val="0"/>
                <w:numId w:val="2"/>
              </w:numPr>
              <w:ind w:left="98" w:hanging="98"/>
              <w:rPr>
                <w:sz w:val="13"/>
                <w:szCs w:val="13"/>
              </w:rPr>
            </w:pPr>
            <w:r>
              <w:rPr>
                <w:sz w:val="13"/>
                <w:szCs w:val="13"/>
              </w:rPr>
              <w:t>EXSP</w:t>
            </w:r>
          </w:p>
          <w:p w14:paraId="13A6B349" w14:textId="3A438A34" w:rsidR="000E6612" w:rsidRDefault="000E6612" w:rsidP="00024AC6">
            <w:pPr>
              <w:pStyle w:val="ListParagraph"/>
              <w:numPr>
                <w:ilvl w:val="0"/>
                <w:numId w:val="2"/>
              </w:numPr>
              <w:ind w:left="98" w:hanging="98"/>
              <w:rPr>
                <w:sz w:val="13"/>
                <w:szCs w:val="13"/>
              </w:rPr>
            </w:pPr>
            <w:r>
              <w:rPr>
                <w:sz w:val="13"/>
                <w:szCs w:val="13"/>
              </w:rPr>
              <w:t>Assessments and reports</w:t>
            </w:r>
          </w:p>
          <w:p w14:paraId="13CD06E7" w14:textId="33A44D4E" w:rsidR="000E6612" w:rsidRDefault="000E6612" w:rsidP="00024AC6">
            <w:pPr>
              <w:pStyle w:val="ListParagraph"/>
              <w:numPr>
                <w:ilvl w:val="0"/>
                <w:numId w:val="2"/>
              </w:numPr>
              <w:ind w:left="98" w:hanging="98"/>
              <w:rPr>
                <w:sz w:val="13"/>
                <w:szCs w:val="13"/>
              </w:rPr>
            </w:pPr>
            <w:r>
              <w:rPr>
                <w:sz w:val="13"/>
                <w:szCs w:val="13"/>
              </w:rPr>
              <w:t>Review documentation</w:t>
            </w:r>
          </w:p>
          <w:p w14:paraId="65EDED51" w14:textId="77777777" w:rsidR="0070470C" w:rsidRDefault="004A2E0C" w:rsidP="004A2E0C">
            <w:pPr>
              <w:pStyle w:val="ListParagraph"/>
              <w:numPr>
                <w:ilvl w:val="0"/>
                <w:numId w:val="2"/>
              </w:numPr>
              <w:ind w:left="98" w:hanging="98"/>
              <w:rPr>
                <w:sz w:val="13"/>
                <w:szCs w:val="13"/>
              </w:rPr>
            </w:pPr>
            <w:r>
              <w:rPr>
                <w:sz w:val="13"/>
                <w:szCs w:val="13"/>
              </w:rPr>
              <w:t>Provision map</w:t>
            </w:r>
          </w:p>
          <w:p w14:paraId="720A1DE3" w14:textId="77777777" w:rsidR="004A2E0C" w:rsidRDefault="004A2E0C" w:rsidP="004A2E0C">
            <w:pPr>
              <w:pStyle w:val="ListParagraph"/>
              <w:numPr>
                <w:ilvl w:val="0"/>
                <w:numId w:val="2"/>
              </w:numPr>
              <w:ind w:left="98" w:hanging="98"/>
              <w:rPr>
                <w:sz w:val="13"/>
                <w:szCs w:val="13"/>
              </w:rPr>
            </w:pPr>
            <w:r>
              <w:rPr>
                <w:sz w:val="13"/>
                <w:szCs w:val="13"/>
              </w:rPr>
              <w:t>Costings</w:t>
            </w:r>
          </w:p>
          <w:p w14:paraId="42FFEA3C" w14:textId="77777777" w:rsidR="004A2E0C" w:rsidRDefault="004A2E0C" w:rsidP="004A2E0C">
            <w:pPr>
              <w:rPr>
                <w:sz w:val="13"/>
                <w:szCs w:val="13"/>
              </w:rPr>
            </w:pPr>
          </w:p>
          <w:p w14:paraId="4943C437" w14:textId="5D41B5D9" w:rsidR="004A2E0C" w:rsidRPr="004A2E0C" w:rsidRDefault="004A2E0C" w:rsidP="004A2E0C">
            <w:pPr>
              <w:rPr>
                <w:sz w:val="13"/>
                <w:szCs w:val="13"/>
              </w:rPr>
            </w:pPr>
            <w:r>
              <w:rPr>
                <w:sz w:val="13"/>
                <w:szCs w:val="13"/>
              </w:rPr>
              <w:t>The school representative or lead SENCO brings paper copies of the above to the meeting – these are not shared in advance.</w:t>
            </w:r>
          </w:p>
        </w:tc>
        <w:tc>
          <w:tcPr>
            <w:tcW w:w="236" w:type="dxa"/>
            <w:tcBorders>
              <w:top w:val="nil"/>
              <w:left w:val="single" w:sz="4" w:space="0" w:color="auto"/>
              <w:bottom w:val="nil"/>
              <w:right w:val="single" w:sz="4" w:space="0" w:color="auto"/>
            </w:tcBorders>
          </w:tcPr>
          <w:p w14:paraId="47CB52B6" w14:textId="77777777" w:rsidR="0070470C" w:rsidRDefault="0070470C"/>
        </w:tc>
        <w:tc>
          <w:tcPr>
            <w:tcW w:w="2441" w:type="dxa"/>
            <w:tcBorders>
              <w:top w:val="single" w:sz="4" w:space="0" w:color="auto"/>
              <w:left w:val="single" w:sz="4" w:space="0" w:color="auto"/>
              <w:bottom w:val="single" w:sz="4" w:space="0" w:color="auto"/>
              <w:right w:val="single" w:sz="4" w:space="0" w:color="auto"/>
            </w:tcBorders>
            <w:shd w:val="clear" w:color="auto" w:fill="C5D3FF"/>
          </w:tcPr>
          <w:p w14:paraId="1102F0C4" w14:textId="5078DCCC" w:rsidR="001B1787" w:rsidRPr="005C78AA" w:rsidRDefault="001B1787" w:rsidP="001B1787">
            <w:pPr>
              <w:rPr>
                <w:b/>
                <w:bCs/>
                <w:sz w:val="13"/>
                <w:szCs w:val="13"/>
              </w:rPr>
            </w:pPr>
            <w:r>
              <w:rPr>
                <w:b/>
                <w:bCs/>
                <w:sz w:val="13"/>
                <w:szCs w:val="13"/>
              </w:rPr>
              <w:t>OUTCOMES</w:t>
            </w:r>
            <w:r w:rsidRPr="005C78AA">
              <w:rPr>
                <w:b/>
                <w:bCs/>
                <w:sz w:val="13"/>
                <w:szCs w:val="13"/>
              </w:rPr>
              <w:t>:</w:t>
            </w:r>
          </w:p>
          <w:p w14:paraId="38DB4394" w14:textId="77777777" w:rsidR="001B1787" w:rsidRPr="005C78AA" w:rsidRDefault="001B1787" w:rsidP="001B1787">
            <w:pPr>
              <w:rPr>
                <w:b/>
                <w:bCs/>
                <w:sz w:val="13"/>
                <w:szCs w:val="13"/>
              </w:rPr>
            </w:pPr>
          </w:p>
          <w:p w14:paraId="4EBC5D55" w14:textId="62C7F0C4" w:rsidR="001B1787" w:rsidRPr="005C78AA" w:rsidRDefault="001B1787" w:rsidP="001B1787">
            <w:pPr>
              <w:rPr>
                <w:b/>
                <w:bCs/>
                <w:sz w:val="13"/>
                <w:szCs w:val="13"/>
              </w:rPr>
            </w:pPr>
            <w:r w:rsidRPr="005C78AA">
              <w:rPr>
                <w:b/>
                <w:bCs/>
                <w:sz w:val="13"/>
                <w:szCs w:val="13"/>
              </w:rPr>
              <w:t>Consultation:</w:t>
            </w:r>
          </w:p>
          <w:p w14:paraId="2B55542E" w14:textId="293DBE18" w:rsidR="001B1787" w:rsidRDefault="001B1787" w:rsidP="001B1787">
            <w:pPr>
              <w:pStyle w:val="ListParagraph"/>
              <w:numPr>
                <w:ilvl w:val="0"/>
                <w:numId w:val="1"/>
              </w:numPr>
              <w:ind w:left="98" w:hanging="98"/>
              <w:rPr>
                <w:sz w:val="13"/>
                <w:szCs w:val="13"/>
              </w:rPr>
            </w:pPr>
            <w:r>
              <w:rPr>
                <w:sz w:val="13"/>
                <w:szCs w:val="13"/>
              </w:rPr>
              <w:t>Advice and guidance put in place (child may be reviewed by locality consultation or future)</w:t>
            </w:r>
          </w:p>
          <w:p w14:paraId="5C27743B" w14:textId="60BBA259" w:rsidR="009D7815" w:rsidRPr="009D7815" w:rsidRDefault="009D7815" w:rsidP="009D7815">
            <w:pPr>
              <w:rPr>
                <w:sz w:val="13"/>
                <w:szCs w:val="13"/>
              </w:rPr>
            </w:pPr>
            <w:r>
              <w:rPr>
                <w:sz w:val="13"/>
                <w:szCs w:val="13"/>
              </w:rPr>
              <w:t>OR</w:t>
            </w:r>
          </w:p>
          <w:p w14:paraId="274032A7" w14:textId="62A7C631" w:rsidR="009D7815" w:rsidRDefault="009D7815" w:rsidP="001B1787">
            <w:pPr>
              <w:pStyle w:val="ListParagraph"/>
              <w:numPr>
                <w:ilvl w:val="0"/>
                <w:numId w:val="1"/>
              </w:numPr>
              <w:ind w:left="98" w:hanging="98"/>
              <w:rPr>
                <w:sz w:val="13"/>
                <w:szCs w:val="13"/>
              </w:rPr>
            </w:pPr>
            <w:r>
              <w:rPr>
                <w:sz w:val="13"/>
                <w:szCs w:val="13"/>
              </w:rPr>
              <w:t>Child’s case progression to quality assurance of</w:t>
            </w:r>
            <w:r w:rsidR="00AF18B5">
              <w:rPr>
                <w:sz w:val="13"/>
                <w:szCs w:val="13"/>
              </w:rPr>
              <w:t xml:space="preserve"> EXSP</w:t>
            </w:r>
          </w:p>
          <w:p w14:paraId="2400EF10" w14:textId="77777777" w:rsidR="00EC5FC5" w:rsidRDefault="00EC5FC5" w:rsidP="00EC5FC5">
            <w:pPr>
              <w:rPr>
                <w:sz w:val="13"/>
                <w:szCs w:val="13"/>
              </w:rPr>
            </w:pPr>
          </w:p>
          <w:p w14:paraId="356C64CF" w14:textId="4A9D1382" w:rsidR="00EC5FC5" w:rsidRDefault="00EC5FC5" w:rsidP="00EC5FC5">
            <w:pPr>
              <w:rPr>
                <w:b/>
                <w:bCs/>
                <w:sz w:val="13"/>
                <w:szCs w:val="13"/>
              </w:rPr>
            </w:pPr>
            <w:r>
              <w:rPr>
                <w:b/>
                <w:bCs/>
                <w:sz w:val="13"/>
                <w:szCs w:val="13"/>
              </w:rPr>
              <w:t xml:space="preserve">Quality assurance of </w:t>
            </w:r>
            <w:r w:rsidR="002F6B78">
              <w:rPr>
                <w:b/>
                <w:bCs/>
                <w:sz w:val="13"/>
                <w:szCs w:val="13"/>
              </w:rPr>
              <w:t>EXSP</w:t>
            </w:r>
            <w:r>
              <w:rPr>
                <w:b/>
                <w:bCs/>
                <w:sz w:val="13"/>
                <w:szCs w:val="13"/>
              </w:rPr>
              <w:t>:</w:t>
            </w:r>
          </w:p>
          <w:p w14:paraId="53A3FBC9" w14:textId="76BB69ED" w:rsidR="00F460D1" w:rsidRDefault="00AD3A1A" w:rsidP="00F460D1">
            <w:pPr>
              <w:pStyle w:val="ListParagraph"/>
              <w:numPr>
                <w:ilvl w:val="0"/>
                <w:numId w:val="1"/>
              </w:numPr>
              <w:ind w:left="98" w:hanging="98"/>
              <w:rPr>
                <w:sz w:val="13"/>
                <w:szCs w:val="13"/>
              </w:rPr>
            </w:pPr>
            <w:r>
              <w:rPr>
                <w:sz w:val="13"/>
                <w:szCs w:val="13"/>
              </w:rPr>
              <w:t>Agree to submit child’s case to locality panel for consideration for request to assess for an EHC needs assessment</w:t>
            </w:r>
          </w:p>
          <w:p w14:paraId="01D3C1C6" w14:textId="77777777" w:rsidR="00B81873" w:rsidRPr="009D7815" w:rsidRDefault="00B81873" w:rsidP="00B81873">
            <w:pPr>
              <w:rPr>
                <w:sz w:val="13"/>
                <w:szCs w:val="13"/>
              </w:rPr>
            </w:pPr>
            <w:r>
              <w:rPr>
                <w:sz w:val="13"/>
                <w:szCs w:val="13"/>
              </w:rPr>
              <w:t>OR</w:t>
            </w:r>
          </w:p>
          <w:p w14:paraId="33BD766A" w14:textId="10B1EA4D" w:rsidR="00B81873" w:rsidRDefault="00B81873" w:rsidP="00B81873">
            <w:pPr>
              <w:pStyle w:val="ListParagraph"/>
              <w:numPr>
                <w:ilvl w:val="0"/>
                <w:numId w:val="1"/>
              </w:numPr>
              <w:ind w:left="98" w:hanging="98"/>
              <w:rPr>
                <w:sz w:val="13"/>
                <w:szCs w:val="13"/>
              </w:rPr>
            </w:pPr>
            <w:r>
              <w:rPr>
                <w:sz w:val="13"/>
                <w:szCs w:val="13"/>
              </w:rPr>
              <w:t xml:space="preserve">Advice/guidance about what else needs to happen (child’s </w:t>
            </w:r>
            <w:r w:rsidR="000A141F">
              <w:rPr>
                <w:sz w:val="13"/>
                <w:szCs w:val="13"/>
              </w:rPr>
              <w:t>EXSP</w:t>
            </w:r>
            <w:r>
              <w:rPr>
                <w:sz w:val="13"/>
                <w:szCs w:val="13"/>
              </w:rPr>
              <w:t xml:space="preserve"> may be reviewed again in future</w:t>
            </w:r>
            <w:r w:rsidR="00F23F65">
              <w:rPr>
                <w:sz w:val="13"/>
                <w:szCs w:val="13"/>
              </w:rPr>
              <w:t>)</w:t>
            </w:r>
          </w:p>
          <w:p w14:paraId="2110483A" w14:textId="77777777" w:rsidR="00F460D1" w:rsidRPr="005C78AA" w:rsidRDefault="00F460D1" w:rsidP="00EC5FC5">
            <w:pPr>
              <w:rPr>
                <w:b/>
                <w:bCs/>
                <w:sz w:val="13"/>
                <w:szCs w:val="13"/>
              </w:rPr>
            </w:pPr>
          </w:p>
          <w:p w14:paraId="5E30FD10" w14:textId="72E50B6E" w:rsidR="0070470C" w:rsidRDefault="0070470C" w:rsidP="00F460D1"/>
        </w:tc>
        <w:tc>
          <w:tcPr>
            <w:tcW w:w="236" w:type="dxa"/>
            <w:tcBorders>
              <w:top w:val="nil"/>
              <w:left w:val="single" w:sz="4" w:space="0" w:color="auto"/>
              <w:bottom w:val="nil"/>
              <w:right w:val="single" w:sz="4" w:space="0" w:color="auto"/>
            </w:tcBorders>
          </w:tcPr>
          <w:p w14:paraId="18692CB3" w14:textId="77777777" w:rsidR="0070470C" w:rsidRDefault="0070470C"/>
        </w:tc>
        <w:tc>
          <w:tcPr>
            <w:tcW w:w="2500" w:type="dxa"/>
            <w:tcBorders>
              <w:top w:val="single" w:sz="4" w:space="0" w:color="auto"/>
              <w:left w:val="single" w:sz="4" w:space="0" w:color="auto"/>
              <w:bottom w:val="single" w:sz="4" w:space="0" w:color="auto"/>
              <w:right w:val="single" w:sz="4" w:space="0" w:color="auto"/>
            </w:tcBorders>
            <w:shd w:val="clear" w:color="auto" w:fill="C5D3FF"/>
          </w:tcPr>
          <w:p w14:paraId="169E11CC" w14:textId="2BFFBC0F" w:rsidR="00F23F65" w:rsidRPr="005C78AA" w:rsidRDefault="00F23F65" w:rsidP="00F23F65">
            <w:pPr>
              <w:rPr>
                <w:b/>
                <w:bCs/>
                <w:sz w:val="13"/>
                <w:szCs w:val="13"/>
              </w:rPr>
            </w:pPr>
            <w:r>
              <w:rPr>
                <w:b/>
                <w:bCs/>
                <w:sz w:val="13"/>
                <w:szCs w:val="13"/>
              </w:rPr>
              <w:t>PAPERWORK COMPLETED</w:t>
            </w:r>
            <w:r w:rsidRPr="005C78AA">
              <w:rPr>
                <w:b/>
                <w:bCs/>
                <w:sz w:val="13"/>
                <w:szCs w:val="13"/>
              </w:rPr>
              <w:t>:</w:t>
            </w:r>
          </w:p>
          <w:p w14:paraId="491D8C83" w14:textId="77777777" w:rsidR="00F23F65" w:rsidRPr="005C78AA" w:rsidRDefault="00F23F65" w:rsidP="00F23F65">
            <w:pPr>
              <w:rPr>
                <w:b/>
                <w:bCs/>
                <w:sz w:val="13"/>
                <w:szCs w:val="13"/>
              </w:rPr>
            </w:pPr>
          </w:p>
          <w:p w14:paraId="0DA4496C" w14:textId="77777777" w:rsidR="00F23F65" w:rsidRPr="005C78AA" w:rsidRDefault="00F23F65" w:rsidP="00F23F65">
            <w:pPr>
              <w:rPr>
                <w:b/>
                <w:bCs/>
                <w:sz w:val="13"/>
                <w:szCs w:val="13"/>
              </w:rPr>
            </w:pPr>
            <w:r>
              <w:rPr>
                <w:b/>
                <w:bCs/>
                <w:sz w:val="13"/>
                <w:szCs w:val="13"/>
              </w:rPr>
              <w:t xml:space="preserve">For </w:t>
            </w:r>
            <w:r w:rsidRPr="005C78AA">
              <w:rPr>
                <w:b/>
                <w:bCs/>
                <w:sz w:val="13"/>
                <w:szCs w:val="13"/>
              </w:rPr>
              <w:t>Consultation:</w:t>
            </w:r>
          </w:p>
          <w:p w14:paraId="72A160D0" w14:textId="231BCCE8" w:rsidR="00F23F65" w:rsidRDefault="00F23F65" w:rsidP="00F23F65">
            <w:pPr>
              <w:pStyle w:val="ListParagraph"/>
              <w:numPr>
                <w:ilvl w:val="0"/>
                <w:numId w:val="1"/>
              </w:numPr>
              <w:ind w:left="98" w:hanging="98"/>
              <w:rPr>
                <w:sz w:val="13"/>
                <w:szCs w:val="13"/>
              </w:rPr>
            </w:pPr>
            <w:r>
              <w:rPr>
                <w:sz w:val="13"/>
                <w:szCs w:val="13"/>
              </w:rPr>
              <w:t xml:space="preserve">Locality SEND Processes – Stage 1 Consultation form </w:t>
            </w:r>
            <w:r w:rsidR="005E0513">
              <w:rPr>
                <w:sz w:val="13"/>
                <w:szCs w:val="13"/>
              </w:rPr>
              <w:t>completed at meeting and retained by school</w:t>
            </w:r>
          </w:p>
          <w:p w14:paraId="2A5EF33D" w14:textId="77777777" w:rsidR="00666672" w:rsidRDefault="00666672" w:rsidP="00666672">
            <w:pPr>
              <w:rPr>
                <w:sz w:val="13"/>
                <w:szCs w:val="13"/>
              </w:rPr>
            </w:pPr>
          </w:p>
          <w:p w14:paraId="189FA808" w14:textId="6F780516" w:rsidR="00666672" w:rsidRDefault="00666672" w:rsidP="00666672">
            <w:pPr>
              <w:rPr>
                <w:b/>
                <w:bCs/>
                <w:sz w:val="13"/>
                <w:szCs w:val="13"/>
              </w:rPr>
            </w:pPr>
            <w:r w:rsidRPr="00AB495E">
              <w:rPr>
                <w:b/>
                <w:bCs/>
                <w:sz w:val="13"/>
                <w:szCs w:val="13"/>
              </w:rPr>
              <w:t xml:space="preserve">Quality Assurance of </w:t>
            </w:r>
            <w:r w:rsidR="002F6B78">
              <w:rPr>
                <w:b/>
                <w:bCs/>
                <w:sz w:val="13"/>
                <w:szCs w:val="13"/>
              </w:rPr>
              <w:t>EXSP</w:t>
            </w:r>
          </w:p>
          <w:p w14:paraId="32D98B17" w14:textId="77777777" w:rsidR="00A96448" w:rsidRPr="00AB495E" w:rsidRDefault="00A96448" w:rsidP="00666672">
            <w:pPr>
              <w:rPr>
                <w:b/>
                <w:bCs/>
                <w:sz w:val="13"/>
                <w:szCs w:val="13"/>
              </w:rPr>
            </w:pPr>
          </w:p>
          <w:p w14:paraId="340C0EB0" w14:textId="1D008D72" w:rsidR="00F23F65" w:rsidRPr="000E6612" w:rsidRDefault="00F23F65" w:rsidP="00F23F65">
            <w:pPr>
              <w:pStyle w:val="ListParagraph"/>
              <w:numPr>
                <w:ilvl w:val="0"/>
                <w:numId w:val="1"/>
              </w:numPr>
              <w:ind w:left="98" w:hanging="98"/>
              <w:rPr>
                <w:b/>
                <w:bCs/>
                <w:sz w:val="13"/>
                <w:szCs w:val="13"/>
              </w:rPr>
            </w:pPr>
            <w:r>
              <w:rPr>
                <w:sz w:val="13"/>
                <w:szCs w:val="13"/>
              </w:rPr>
              <w:t>S</w:t>
            </w:r>
            <w:r w:rsidR="00666672">
              <w:rPr>
                <w:sz w:val="13"/>
                <w:szCs w:val="13"/>
              </w:rPr>
              <w:t xml:space="preserve">tage 1 </w:t>
            </w:r>
            <w:r w:rsidR="004A4499">
              <w:rPr>
                <w:sz w:val="13"/>
                <w:szCs w:val="13"/>
              </w:rPr>
              <w:t>EXSP</w:t>
            </w:r>
            <w:r w:rsidR="00666672">
              <w:rPr>
                <w:sz w:val="13"/>
                <w:szCs w:val="13"/>
              </w:rPr>
              <w:t xml:space="preserve"> </w:t>
            </w:r>
            <w:r w:rsidR="007B26DE">
              <w:rPr>
                <w:sz w:val="13"/>
                <w:szCs w:val="13"/>
              </w:rPr>
              <w:t>Quality Assurance checklist completed at meeting and retained by school (schools to use as evidence if bringing case to Locality Panel (state 2)</w:t>
            </w:r>
          </w:p>
          <w:p w14:paraId="15E4995C" w14:textId="77777777" w:rsidR="0070470C" w:rsidRDefault="0070470C"/>
        </w:tc>
      </w:tr>
      <w:tr w:rsidR="005C78AA" w14:paraId="68619565" w14:textId="77777777" w:rsidTr="00820DCB">
        <w:trPr>
          <w:trHeight w:val="137"/>
        </w:trPr>
        <w:tc>
          <w:tcPr>
            <w:tcW w:w="498" w:type="dxa"/>
            <w:tcBorders>
              <w:top w:val="single" w:sz="4" w:space="0" w:color="auto"/>
              <w:left w:val="nil"/>
              <w:bottom w:val="single" w:sz="4" w:space="0" w:color="auto"/>
              <w:right w:val="nil"/>
            </w:tcBorders>
          </w:tcPr>
          <w:p w14:paraId="7FBB69CF" w14:textId="77777777" w:rsidR="0070470C" w:rsidRDefault="0070470C"/>
        </w:tc>
        <w:tc>
          <w:tcPr>
            <w:tcW w:w="284" w:type="dxa"/>
            <w:tcBorders>
              <w:top w:val="nil"/>
              <w:left w:val="nil"/>
              <w:bottom w:val="single" w:sz="4" w:space="0" w:color="auto"/>
              <w:right w:val="nil"/>
            </w:tcBorders>
          </w:tcPr>
          <w:p w14:paraId="53D71E1D" w14:textId="77777777" w:rsidR="0070470C" w:rsidRDefault="0070470C"/>
        </w:tc>
        <w:tc>
          <w:tcPr>
            <w:tcW w:w="2116" w:type="dxa"/>
            <w:tcBorders>
              <w:top w:val="single" w:sz="4" w:space="0" w:color="auto"/>
              <w:left w:val="nil"/>
              <w:bottom w:val="single" w:sz="4" w:space="0" w:color="auto"/>
              <w:right w:val="nil"/>
            </w:tcBorders>
          </w:tcPr>
          <w:p w14:paraId="7EAB185F" w14:textId="77777777" w:rsidR="0070470C" w:rsidRPr="00820DCB" w:rsidRDefault="0070470C">
            <w:pPr>
              <w:rPr>
                <w:sz w:val="14"/>
                <w:szCs w:val="14"/>
              </w:rPr>
            </w:pPr>
          </w:p>
        </w:tc>
        <w:tc>
          <w:tcPr>
            <w:tcW w:w="284" w:type="dxa"/>
            <w:tcBorders>
              <w:top w:val="nil"/>
              <w:left w:val="nil"/>
              <w:bottom w:val="single" w:sz="4" w:space="0" w:color="auto"/>
              <w:right w:val="nil"/>
            </w:tcBorders>
          </w:tcPr>
          <w:p w14:paraId="04D2EC8D" w14:textId="77777777" w:rsidR="0070470C" w:rsidRDefault="0070470C"/>
        </w:tc>
        <w:tc>
          <w:tcPr>
            <w:tcW w:w="1830" w:type="dxa"/>
            <w:tcBorders>
              <w:top w:val="single" w:sz="4" w:space="0" w:color="auto"/>
              <w:left w:val="nil"/>
              <w:bottom w:val="single" w:sz="4" w:space="0" w:color="auto"/>
              <w:right w:val="nil"/>
            </w:tcBorders>
          </w:tcPr>
          <w:p w14:paraId="2AC99066" w14:textId="77777777" w:rsidR="0070470C" w:rsidRDefault="0070470C"/>
        </w:tc>
        <w:tc>
          <w:tcPr>
            <w:tcW w:w="283" w:type="dxa"/>
            <w:tcBorders>
              <w:top w:val="nil"/>
              <w:left w:val="nil"/>
              <w:bottom w:val="single" w:sz="4" w:space="0" w:color="auto"/>
              <w:right w:val="nil"/>
            </w:tcBorders>
          </w:tcPr>
          <w:p w14:paraId="11B57538" w14:textId="77777777" w:rsidR="0070470C" w:rsidRDefault="0070470C"/>
        </w:tc>
        <w:tc>
          <w:tcPr>
            <w:tcW w:w="3236" w:type="dxa"/>
            <w:tcBorders>
              <w:top w:val="single" w:sz="4" w:space="0" w:color="auto"/>
              <w:left w:val="nil"/>
              <w:bottom w:val="single" w:sz="4" w:space="0" w:color="auto"/>
              <w:right w:val="nil"/>
            </w:tcBorders>
          </w:tcPr>
          <w:p w14:paraId="795EA8DA" w14:textId="77777777" w:rsidR="0070470C" w:rsidRDefault="0070470C"/>
        </w:tc>
        <w:tc>
          <w:tcPr>
            <w:tcW w:w="236" w:type="dxa"/>
            <w:tcBorders>
              <w:top w:val="nil"/>
              <w:left w:val="nil"/>
              <w:bottom w:val="single" w:sz="4" w:space="0" w:color="auto"/>
              <w:right w:val="nil"/>
            </w:tcBorders>
          </w:tcPr>
          <w:p w14:paraId="3F80A649" w14:textId="77777777" w:rsidR="0070470C" w:rsidRDefault="0070470C"/>
        </w:tc>
        <w:tc>
          <w:tcPr>
            <w:tcW w:w="2441" w:type="dxa"/>
            <w:tcBorders>
              <w:top w:val="single" w:sz="4" w:space="0" w:color="auto"/>
              <w:left w:val="nil"/>
              <w:bottom w:val="single" w:sz="4" w:space="0" w:color="auto"/>
              <w:right w:val="nil"/>
            </w:tcBorders>
          </w:tcPr>
          <w:p w14:paraId="4578185C" w14:textId="77777777" w:rsidR="0070470C" w:rsidRDefault="0070470C"/>
        </w:tc>
        <w:tc>
          <w:tcPr>
            <w:tcW w:w="236" w:type="dxa"/>
            <w:tcBorders>
              <w:top w:val="nil"/>
              <w:left w:val="nil"/>
              <w:bottom w:val="single" w:sz="4" w:space="0" w:color="auto"/>
              <w:right w:val="nil"/>
            </w:tcBorders>
          </w:tcPr>
          <w:p w14:paraId="2B4B5318" w14:textId="77777777" w:rsidR="0070470C" w:rsidRDefault="0070470C"/>
        </w:tc>
        <w:tc>
          <w:tcPr>
            <w:tcW w:w="2500" w:type="dxa"/>
            <w:tcBorders>
              <w:top w:val="single" w:sz="4" w:space="0" w:color="auto"/>
              <w:left w:val="nil"/>
              <w:bottom w:val="single" w:sz="4" w:space="0" w:color="auto"/>
              <w:right w:val="nil"/>
            </w:tcBorders>
          </w:tcPr>
          <w:p w14:paraId="03BF991D" w14:textId="77777777" w:rsidR="0070470C" w:rsidRDefault="0070470C"/>
        </w:tc>
      </w:tr>
      <w:tr w:rsidR="0070470C" w14:paraId="7023473B" w14:textId="77777777" w:rsidTr="00FF091D">
        <w:trPr>
          <w:trHeight w:val="519"/>
        </w:trPr>
        <w:tc>
          <w:tcPr>
            <w:tcW w:w="13944" w:type="dxa"/>
            <w:gridSpan w:val="11"/>
            <w:tcBorders>
              <w:top w:val="single" w:sz="4" w:space="0" w:color="auto"/>
              <w:bottom w:val="single" w:sz="4" w:space="0" w:color="auto"/>
            </w:tcBorders>
            <w:shd w:val="clear" w:color="auto" w:fill="FFFF66"/>
            <w:vAlign w:val="center"/>
          </w:tcPr>
          <w:p w14:paraId="3F7B5236" w14:textId="77777777" w:rsidR="0070470C" w:rsidRDefault="00F77424" w:rsidP="000D5AE6">
            <w:pPr>
              <w:jc w:val="center"/>
              <w:rPr>
                <w:sz w:val="13"/>
                <w:szCs w:val="13"/>
              </w:rPr>
            </w:pPr>
            <w:r>
              <w:rPr>
                <w:sz w:val="13"/>
                <w:szCs w:val="13"/>
              </w:rPr>
              <w:t xml:space="preserve">If the outcome from Stage 1 is ‘advice and </w:t>
            </w:r>
            <w:r w:rsidR="0099422E">
              <w:rPr>
                <w:sz w:val="13"/>
                <w:szCs w:val="13"/>
              </w:rPr>
              <w:t>guidance’ then time must be given to see</w:t>
            </w:r>
            <w:r w:rsidR="00C30886">
              <w:rPr>
                <w:sz w:val="13"/>
                <w:szCs w:val="13"/>
              </w:rPr>
              <w:t xml:space="preserve"> whether this advice and guidance is working before a child or young person’s case is moved to Stage 2 (if this is what is needed).</w:t>
            </w:r>
          </w:p>
          <w:p w14:paraId="0DDCF157" w14:textId="7C3EB43B" w:rsidR="00C30886" w:rsidRPr="00CB5336" w:rsidRDefault="00C30886" w:rsidP="000D5AE6">
            <w:pPr>
              <w:jc w:val="center"/>
              <w:rPr>
                <w:sz w:val="13"/>
                <w:szCs w:val="13"/>
              </w:rPr>
            </w:pPr>
            <w:r>
              <w:rPr>
                <w:sz w:val="13"/>
                <w:szCs w:val="13"/>
              </w:rPr>
              <w:t>This should be through the assess-plan-do-review</w:t>
            </w:r>
            <w:r w:rsidR="00390FB1">
              <w:rPr>
                <w:sz w:val="13"/>
                <w:szCs w:val="13"/>
              </w:rPr>
              <w:t xml:space="preserve"> cycle of the My support plan/</w:t>
            </w:r>
            <w:r w:rsidR="00463420">
              <w:rPr>
                <w:sz w:val="13"/>
                <w:szCs w:val="13"/>
              </w:rPr>
              <w:t>EXSP</w:t>
            </w:r>
            <w:r w:rsidR="00390FB1">
              <w:rPr>
                <w:sz w:val="13"/>
                <w:szCs w:val="13"/>
              </w:rPr>
              <w:t>.</w:t>
            </w:r>
          </w:p>
        </w:tc>
      </w:tr>
    </w:tbl>
    <w:p w14:paraId="40F9B2A1" w14:textId="77777777" w:rsidR="00820DCB" w:rsidRDefault="00820DCB" w:rsidP="00FF091D">
      <w:pPr>
        <w:spacing w:after="0" w:line="240" w:lineRule="auto"/>
      </w:pPr>
    </w:p>
    <w:tbl>
      <w:tblPr>
        <w:tblStyle w:val="TableGrid"/>
        <w:tblW w:w="14062" w:type="dxa"/>
        <w:tblLook w:val="04A0" w:firstRow="1" w:lastRow="0" w:firstColumn="1" w:lastColumn="0" w:noHBand="0" w:noVBand="1"/>
      </w:tblPr>
      <w:tblGrid>
        <w:gridCol w:w="498"/>
        <w:gridCol w:w="284"/>
        <w:gridCol w:w="2135"/>
        <w:gridCol w:w="287"/>
        <w:gridCol w:w="1846"/>
        <w:gridCol w:w="286"/>
        <w:gridCol w:w="3265"/>
        <w:gridCol w:w="238"/>
        <w:gridCol w:w="2463"/>
        <w:gridCol w:w="238"/>
        <w:gridCol w:w="2522"/>
      </w:tblGrid>
      <w:tr w:rsidR="000D5AE6" w14:paraId="14A5B5A3" w14:textId="77777777" w:rsidTr="00FF091D">
        <w:trPr>
          <w:cantSplit/>
          <w:trHeight w:val="3960"/>
        </w:trPr>
        <w:tc>
          <w:tcPr>
            <w:tcW w:w="498" w:type="dxa"/>
            <w:tcBorders>
              <w:top w:val="single" w:sz="4" w:space="0" w:color="auto"/>
              <w:left w:val="single" w:sz="4" w:space="0" w:color="auto"/>
              <w:bottom w:val="single" w:sz="4" w:space="0" w:color="auto"/>
              <w:right w:val="single" w:sz="4" w:space="0" w:color="auto"/>
            </w:tcBorders>
            <w:shd w:val="clear" w:color="auto" w:fill="F6C5AC" w:themeFill="accent2" w:themeFillTint="66"/>
            <w:textDirection w:val="btLr"/>
          </w:tcPr>
          <w:p w14:paraId="27F35204" w14:textId="1A88C5BD" w:rsidR="0070470C" w:rsidRDefault="0070470C" w:rsidP="0070470C">
            <w:pPr>
              <w:ind w:left="113" w:right="113"/>
              <w:jc w:val="center"/>
            </w:pPr>
            <w:r w:rsidRPr="0070470C">
              <w:rPr>
                <w:b/>
                <w:bCs/>
              </w:rPr>
              <w:t xml:space="preserve">STAGE </w:t>
            </w:r>
            <w:r>
              <w:rPr>
                <w:b/>
                <w:bCs/>
              </w:rPr>
              <w:t>2</w:t>
            </w:r>
          </w:p>
        </w:tc>
        <w:tc>
          <w:tcPr>
            <w:tcW w:w="284" w:type="dxa"/>
            <w:tcBorders>
              <w:top w:val="nil"/>
              <w:left w:val="single" w:sz="4" w:space="0" w:color="auto"/>
              <w:bottom w:val="nil"/>
              <w:right w:val="single" w:sz="4" w:space="0" w:color="auto"/>
            </w:tcBorders>
          </w:tcPr>
          <w:p w14:paraId="3C9E32E1" w14:textId="77777777" w:rsidR="0070470C" w:rsidRDefault="0070470C"/>
        </w:tc>
        <w:tc>
          <w:tcPr>
            <w:tcW w:w="2135"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66D2ECB0" w14:textId="77777777" w:rsidR="0070470C" w:rsidRDefault="00CE2F8D">
            <w:pPr>
              <w:rPr>
                <w:b/>
                <w:bCs/>
                <w:sz w:val="13"/>
                <w:szCs w:val="13"/>
              </w:rPr>
            </w:pPr>
            <w:r>
              <w:rPr>
                <w:b/>
                <w:bCs/>
                <w:sz w:val="13"/>
                <w:szCs w:val="13"/>
              </w:rPr>
              <w:t>LOCALITY PANEL – CONSIDERATION FOR REQUEST TO ASSESS*</w:t>
            </w:r>
          </w:p>
          <w:p w14:paraId="5F17D29D" w14:textId="77777777" w:rsidR="00D02675" w:rsidRDefault="00D02675">
            <w:pPr>
              <w:rPr>
                <w:b/>
                <w:bCs/>
                <w:sz w:val="13"/>
                <w:szCs w:val="13"/>
              </w:rPr>
            </w:pPr>
          </w:p>
          <w:p w14:paraId="386884E5" w14:textId="77777777" w:rsidR="0059510D" w:rsidRDefault="0059510D">
            <w:pPr>
              <w:rPr>
                <w:sz w:val="13"/>
                <w:szCs w:val="13"/>
              </w:rPr>
            </w:pPr>
            <w:r>
              <w:rPr>
                <w:b/>
                <w:bCs/>
                <w:sz w:val="13"/>
                <w:szCs w:val="13"/>
              </w:rPr>
              <w:t>*</w:t>
            </w:r>
            <w:r>
              <w:rPr>
                <w:sz w:val="13"/>
                <w:szCs w:val="13"/>
              </w:rPr>
              <w:t>Parental</w:t>
            </w:r>
            <w:r w:rsidR="006E017C">
              <w:rPr>
                <w:sz w:val="13"/>
                <w:szCs w:val="13"/>
              </w:rPr>
              <w:t xml:space="preserve"> consent must be given before a child/young person’s case is brought to Locality Panel</w:t>
            </w:r>
            <w:r w:rsidR="00D816C4">
              <w:rPr>
                <w:sz w:val="13"/>
                <w:szCs w:val="13"/>
              </w:rPr>
              <w:t>.</w:t>
            </w:r>
          </w:p>
          <w:p w14:paraId="6A66EF77" w14:textId="77777777" w:rsidR="00D816C4" w:rsidRDefault="00D816C4">
            <w:pPr>
              <w:rPr>
                <w:sz w:val="13"/>
                <w:szCs w:val="13"/>
              </w:rPr>
            </w:pPr>
          </w:p>
          <w:p w14:paraId="3A2509DC" w14:textId="77777777" w:rsidR="00D816C4" w:rsidRDefault="00D816C4">
            <w:pPr>
              <w:rPr>
                <w:sz w:val="13"/>
                <w:szCs w:val="13"/>
              </w:rPr>
            </w:pPr>
            <w:r>
              <w:rPr>
                <w:sz w:val="13"/>
                <w:szCs w:val="13"/>
              </w:rPr>
              <w:t>This can be given through the school’s privacy notice if it mentions sharing SEND data with the local authority and with other schools through agreed processes.</w:t>
            </w:r>
          </w:p>
          <w:p w14:paraId="7BC7DCF1" w14:textId="77777777" w:rsidR="00D969AF" w:rsidRDefault="00D969AF">
            <w:pPr>
              <w:rPr>
                <w:sz w:val="13"/>
                <w:szCs w:val="13"/>
              </w:rPr>
            </w:pPr>
          </w:p>
          <w:p w14:paraId="1C12A9E6" w14:textId="57866736" w:rsidR="00D969AF" w:rsidRPr="0059510D" w:rsidRDefault="00D969AF">
            <w:pPr>
              <w:rPr>
                <w:sz w:val="13"/>
                <w:szCs w:val="13"/>
              </w:rPr>
            </w:pPr>
            <w:r>
              <w:rPr>
                <w:sz w:val="13"/>
                <w:szCs w:val="13"/>
              </w:rPr>
              <w:t>(This is not needed for stage 1 of the Locality SEND Processes as names are not shared and children are not identifiable).</w:t>
            </w:r>
          </w:p>
        </w:tc>
        <w:tc>
          <w:tcPr>
            <w:tcW w:w="287" w:type="dxa"/>
            <w:tcBorders>
              <w:top w:val="nil"/>
              <w:left w:val="single" w:sz="4" w:space="0" w:color="auto"/>
              <w:bottom w:val="nil"/>
              <w:right w:val="single" w:sz="4" w:space="0" w:color="auto"/>
            </w:tcBorders>
          </w:tcPr>
          <w:p w14:paraId="130C8CF6" w14:textId="77777777" w:rsidR="0070470C" w:rsidRDefault="0070470C"/>
        </w:tc>
        <w:tc>
          <w:tcPr>
            <w:tcW w:w="1846"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4EB73F9C" w14:textId="77777777" w:rsidR="0070470C" w:rsidRDefault="00D15820">
            <w:pPr>
              <w:rPr>
                <w:b/>
                <w:bCs/>
                <w:sz w:val="13"/>
                <w:szCs w:val="13"/>
              </w:rPr>
            </w:pPr>
            <w:r>
              <w:rPr>
                <w:b/>
                <w:bCs/>
                <w:sz w:val="13"/>
                <w:szCs w:val="13"/>
              </w:rPr>
              <w:t>WHO IS INVOLVED:</w:t>
            </w:r>
          </w:p>
          <w:p w14:paraId="69BC9C35" w14:textId="77777777" w:rsidR="00F04087" w:rsidRPr="00F04087" w:rsidRDefault="00D15820" w:rsidP="00D15820">
            <w:pPr>
              <w:pStyle w:val="ListParagraph"/>
              <w:numPr>
                <w:ilvl w:val="0"/>
                <w:numId w:val="1"/>
              </w:numPr>
              <w:ind w:left="98" w:hanging="98"/>
              <w:rPr>
                <w:b/>
                <w:bCs/>
                <w:sz w:val="13"/>
                <w:szCs w:val="13"/>
              </w:rPr>
            </w:pPr>
            <w:r>
              <w:rPr>
                <w:sz w:val="13"/>
                <w:szCs w:val="13"/>
              </w:rPr>
              <w:t xml:space="preserve">School bringing the case to </w:t>
            </w:r>
            <w:r w:rsidR="00F04087">
              <w:rPr>
                <w:sz w:val="13"/>
                <w:szCs w:val="13"/>
              </w:rPr>
              <w:t>Panel</w:t>
            </w:r>
          </w:p>
          <w:p w14:paraId="4D600C1A" w14:textId="77777777" w:rsidR="00F04087" w:rsidRPr="00F04087" w:rsidRDefault="00F04087" w:rsidP="00D15820">
            <w:pPr>
              <w:pStyle w:val="ListParagraph"/>
              <w:numPr>
                <w:ilvl w:val="0"/>
                <w:numId w:val="1"/>
              </w:numPr>
              <w:ind w:left="98" w:hanging="98"/>
              <w:rPr>
                <w:b/>
                <w:bCs/>
                <w:sz w:val="13"/>
                <w:szCs w:val="13"/>
              </w:rPr>
            </w:pPr>
            <w:r>
              <w:rPr>
                <w:sz w:val="13"/>
                <w:szCs w:val="13"/>
              </w:rPr>
              <w:t>Lead SENCOs</w:t>
            </w:r>
          </w:p>
          <w:p w14:paraId="125A3769" w14:textId="1F4A08E8" w:rsidR="00D15820" w:rsidRPr="00F04087" w:rsidRDefault="00F04087" w:rsidP="00D15820">
            <w:pPr>
              <w:pStyle w:val="ListParagraph"/>
              <w:numPr>
                <w:ilvl w:val="0"/>
                <w:numId w:val="1"/>
              </w:numPr>
              <w:ind w:left="98" w:hanging="98"/>
              <w:rPr>
                <w:b/>
                <w:bCs/>
                <w:sz w:val="13"/>
                <w:szCs w:val="13"/>
              </w:rPr>
            </w:pPr>
            <w:r>
              <w:rPr>
                <w:sz w:val="13"/>
                <w:szCs w:val="13"/>
              </w:rPr>
              <w:t>Lead head teacher</w:t>
            </w:r>
          </w:p>
          <w:p w14:paraId="3C7E5495" w14:textId="7A9D4FB7" w:rsidR="00F04087" w:rsidRPr="00E405E4" w:rsidRDefault="00F04087" w:rsidP="00D15820">
            <w:pPr>
              <w:pStyle w:val="ListParagraph"/>
              <w:numPr>
                <w:ilvl w:val="0"/>
                <w:numId w:val="1"/>
              </w:numPr>
              <w:ind w:left="98" w:hanging="98"/>
              <w:rPr>
                <w:sz w:val="13"/>
                <w:szCs w:val="13"/>
              </w:rPr>
            </w:pPr>
            <w:r>
              <w:rPr>
                <w:sz w:val="13"/>
                <w:szCs w:val="13"/>
              </w:rPr>
              <w:t xml:space="preserve">Senior Educational </w:t>
            </w:r>
            <w:r w:rsidRPr="00E405E4">
              <w:rPr>
                <w:sz w:val="13"/>
                <w:szCs w:val="13"/>
              </w:rPr>
              <w:t>Psychologist</w:t>
            </w:r>
          </w:p>
          <w:p w14:paraId="638879E1" w14:textId="691ACE07" w:rsidR="00D15820" w:rsidRPr="00D15820" w:rsidRDefault="00E405E4" w:rsidP="00E405E4">
            <w:pPr>
              <w:pStyle w:val="ListParagraph"/>
              <w:numPr>
                <w:ilvl w:val="0"/>
                <w:numId w:val="1"/>
              </w:numPr>
              <w:ind w:left="98" w:hanging="98"/>
              <w:rPr>
                <w:sz w:val="13"/>
                <w:szCs w:val="13"/>
              </w:rPr>
            </w:pPr>
            <w:r w:rsidRPr="00E405E4">
              <w:rPr>
                <w:sz w:val="13"/>
                <w:szCs w:val="13"/>
              </w:rPr>
              <w:t>SENDSARS locality manager</w:t>
            </w:r>
          </w:p>
        </w:tc>
        <w:tc>
          <w:tcPr>
            <w:tcW w:w="286" w:type="dxa"/>
            <w:tcBorders>
              <w:top w:val="nil"/>
              <w:left w:val="single" w:sz="4" w:space="0" w:color="auto"/>
              <w:bottom w:val="nil"/>
              <w:right w:val="single" w:sz="4" w:space="0" w:color="auto"/>
            </w:tcBorders>
          </w:tcPr>
          <w:p w14:paraId="05B895A4" w14:textId="77777777" w:rsidR="0070470C" w:rsidRDefault="0070470C"/>
        </w:tc>
        <w:tc>
          <w:tcPr>
            <w:tcW w:w="3265"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4E5DDC40" w14:textId="60658609" w:rsidR="000A7233" w:rsidRDefault="000A7233" w:rsidP="000A7233">
            <w:pPr>
              <w:rPr>
                <w:b/>
                <w:bCs/>
                <w:sz w:val="13"/>
                <w:szCs w:val="13"/>
              </w:rPr>
            </w:pPr>
            <w:r>
              <w:rPr>
                <w:b/>
                <w:bCs/>
                <w:sz w:val="13"/>
                <w:szCs w:val="13"/>
              </w:rPr>
              <w:t>EVIDENCE THAT NEEDS TO BE BROUGHT BY SCHOOLS:</w:t>
            </w:r>
          </w:p>
          <w:p w14:paraId="25B24387" w14:textId="0062E5EF" w:rsidR="000A7233" w:rsidRPr="000A7233" w:rsidRDefault="00A96448" w:rsidP="000A7233">
            <w:pPr>
              <w:pStyle w:val="ListParagraph"/>
              <w:numPr>
                <w:ilvl w:val="0"/>
                <w:numId w:val="1"/>
              </w:numPr>
              <w:ind w:left="98" w:hanging="98"/>
              <w:rPr>
                <w:b/>
                <w:bCs/>
                <w:sz w:val="13"/>
                <w:szCs w:val="13"/>
              </w:rPr>
            </w:pPr>
            <w:r>
              <w:rPr>
                <w:sz w:val="13"/>
                <w:szCs w:val="13"/>
              </w:rPr>
              <w:t>EXSP</w:t>
            </w:r>
          </w:p>
          <w:p w14:paraId="32464349" w14:textId="6FBF0DEF" w:rsidR="000A7233" w:rsidRPr="000A7233" w:rsidRDefault="000A7233" w:rsidP="000A7233">
            <w:pPr>
              <w:pStyle w:val="ListParagraph"/>
              <w:numPr>
                <w:ilvl w:val="0"/>
                <w:numId w:val="1"/>
              </w:numPr>
              <w:ind w:left="98" w:hanging="98"/>
              <w:rPr>
                <w:b/>
                <w:bCs/>
                <w:sz w:val="13"/>
                <w:szCs w:val="13"/>
              </w:rPr>
            </w:pPr>
            <w:r>
              <w:rPr>
                <w:sz w:val="13"/>
                <w:szCs w:val="13"/>
              </w:rPr>
              <w:t>Assessments &amp; reports</w:t>
            </w:r>
          </w:p>
          <w:p w14:paraId="3686EA6F" w14:textId="1AF74876" w:rsidR="000A7233" w:rsidRPr="000A7233" w:rsidRDefault="000A7233" w:rsidP="000A7233">
            <w:pPr>
              <w:pStyle w:val="ListParagraph"/>
              <w:numPr>
                <w:ilvl w:val="0"/>
                <w:numId w:val="1"/>
              </w:numPr>
              <w:ind w:left="98" w:hanging="98"/>
              <w:rPr>
                <w:b/>
                <w:bCs/>
                <w:sz w:val="13"/>
                <w:szCs w:val="13"/>
              </w:rPr>
            </w:pPr>
            <w:r>
              <w:rPr>
                <w:sz w:val="13"/>
                <w:szCs w:val="13"/>
              </w:rPr>
              <w:t>Provision Map</w:t>
            </w:r>
          </w:p>
          <w:p w14:paraId="6CE7F92A" w14:textId="619A5476" w:rsidR="000A7233" w:rsidRPr="000A7233" w:rsidRDefault="000A7233" w:rsidP="000A7233">
            <w:pPr>
              <w:pStyle w:val="ListParagraph"/>
              <w:numPr>
                <w:ilvl w:val="0"/>
                <w:numId w:val="1"/>
              </w:numPr>
              <w:ind w:left="98" w:hanging="98"/>
              <w:rPr>
                <w:b/>
                <w:bCs/>
                <w:sz w:val="13"/>
                <w:szCs w:val="13"/>
              </w:rPr>
            </w:pPr>
            <w:r>
              <w:rPr>
                <w:sz w:val="13"/>
                <w:szCs w:val="13"/>
              </w:rPr>
              <w:t>Costings</w:t>
            </w:r>
          </w:p>
          <w:p w14:paraId="6FC310F7" w14:textId="6292537A" w:rsidR="000A7233" w:rsidRPr="001526BE" w:rsidRDefault="000A7233" w:rsidP="000A7233">
            <w:pPr>
              <w:pStyle w:val="ListParagraph"/>
              <w:numPr>
                <w:ilvl w:val="0"/>
                <w:numId w:val="1"/>
              </w:numPr>
              <w:ind w:left="98" w:hanging="98"/>
              <w:rPr>
                <w:b/>
                <w:bCs/>
                <w:sz w:val="13"/>
                <w:szCs w:val="13"/>
              </w:rPr>
            </w:pPr>
            <w:r w:rsidRPr="001526BE">
              <w:rPr>
                <w:sz w:val="13"/>
                <w:szCs w:val="13"/>
              </w:rPr>
              <w:t>Progress information</w:t>
            </w:r>
          </w:p>
          <w:p w14:paraId="71B76C1A" w14:textId="7FE8D0E7" w:rsidR="001526BE" w:rsidRDefault="001526BE" w:rsidP="001526BE">
            <w:pPr>
              <w:rPr>
                <w:b/>
                <w:bCs/>
                <w:sz w:val="13"/>
                <w:szCs w:val="13"/>
              </w:rPr>
            </w:pPr>
          </w:p>
          <w:p w14:paraId="0D2A21A2" w14:textId="5BEEC355" w:rsidR="001526BE" w:rsidRDefault="001526BE" w:rsidP="001526BE">
            <w:pPr>
              <w:rPr>
                <w:sz w:val="13"/>
                <w:szCs w:val="13"/>
              </w:rPr>
            </w:pPr>
            <w:r>
              <w:rPr>
                <w:sz w:val="13"/>
                <w:szCs w:val="13"/>
              </w:rPr>
              <w:t>To be sent to the lead headteacher at least two weeks before the meeting via AnyComms.</w:t>
            </w:r>
          </w:p>
          <w:p w14:paraId="34115BE4" w14:textId="77777777" w:rsidR="001526BE" w:rsidRDefault="001526BE" w:rsidP="001526BE">
            <w:pPr>
              <w:rPr>
                <w:sz w:val="13"/>
                <w:szCs w:val="13"/>
              </w:rPr>
            </w:pPr>
          </w:p>
          <w:p w14:paraId="0CFE54A8" w14:textId="2EAC8831" w:rsidR="001526BE" w:rsidRPr="001526BE" w:rsidRDefault="001526BE" w:rsidP="001526BE">
            <w:pPr>
              <w:rPr>
                <w:sz w:val="13"/>
                <w:szCs w:val="13"/>
              </w:rPr>
            </w:pPr>
            <w:r>
              <w:rPr>
                <w:sz w:val="13"/>
                <w:szCs w:val="13"/>
              </w:rPr>
              <w:t>Lead head teacher will share with meeting attendees</w:t>
            </w:r>
            <w:r w:rsidR="003837EF">
              <w:rPr>
                <w:sz w:val="13"/>
                <w:szCs w:val="13"/>
              </w:rPr>
              <w:t xml:space="preserve"> in advance, in line with locality arrangements with AnyComms</w:t>
            </w:r>
            <w:r w:rsidR="007163F0">
              <w:rPr>
                <w:sz w:val="13"/>
                <w:szCs w:val="13"/>
              </w:rPr>
              <w:t>.</w:t>
            </w:r>
          </w:p>
          <w:p w14:paraId="15517372" w14:textId="77777777" w:rsidR="0070470C" w:rsidRDefault="0070470C"/>
        </w:tc>
        <w:tc>
          <w:tcPr>
            <w:tcW w:w="238" w:type="dxa"/>
            <w:tcBorders>
              <w:top w:val="nil"/>
              <w:left w:val="single" w:sz="4" w:space="0" w:color="auto"/>
              <w:bottom w:val="nil"/>
              <w:right w:val="single" w:sz="4" w:space="0" w:color="auto"/>
            </w:tcBorders>
          </w:tcPr>
          <w:p w14:paraId="70C69F19" w14:textId="77777777" w:rsidR="0070470C" w:rsidRDefault="0070470C"/>
        </w:tc>
        <w:tc>
          <w:tcPr>
            <w:tcW w:w="2463"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0C8907A5" w14:textId="41D32C65" w:rsidR="00EE2080" w:rsidRDefault="00EE2080" w:rsidP="00EE2080">
            <w:pPr>
              <w:rPr>
                <w:b/>
                <w:bCs/>
                <w:sz w:val="13"/>
                <w:szCs w:val="13"/>
              </w:rPr>
            </w:pPr>
            <w:r>
              <w:rPr>
                <w:b/>
                <w:bCs/>
                <w:sz w:val="13"/>
                <w:szCs w:val="13"/>
              </w:rPr>
              <w:t>OUTCOMES:</w:t>
            </w:r>
          </w:p>
          <w:p w14:paraId="6C5FFC8B" w14:textId="77777777" w:rsidR="00EE2080" w:rsidRPr="00EE2080" w:rsidRDefault="00EE2080" w:rsidP="00EE2080">
            <w:pPr>
              <w:pStyle w:val="ListParagraph"/>
              <w:numPr>
                <w:ilvl w:val="0"/>
                <w:numId w:val="1"/>
              </w:numPr>
              <w:ind w:left="98" w:hanging="98"/>
              <w:rPr>
                <w:b/>
                <w:bCs/>
                <w:sz w:val="13"/>
                <w:szCs w:val="13"/>
              </w:rPr>
            </w:pPr>
            <w:r>
              <w:rPr>
                <w:sz w:val="13"/>
                <w:szCs w:val="13"/>
              </w:rPr>
              <w:t>Recommend to school that an EHC Needs Assessment is conducted</w:t>
            </w:r>
          </w:p>
          <w:p w14:paraId="476A7D17" w14:textId="503B44AE" w:rsidR="00C55B45" w:rsidRPr="00C55B45" w:rsidRDefault="00EE2080" w:rsidP="00EE2080">
            <w:pPr>
              <w:pStyle w:val="ListParagraph"/>
              <w:numPr>
                <w:ilvl w:val="0"/>
                <w:numId w:val="1"/>
              </w:numPr>
              <w:ind w:left="98" w:hanging="98"/>
              <w:rPr>
                <w:b/>
                <w:bCs/>
                <w:sz w:val="13"/>
                <w:szCs w:val="13"/>
              </w:rPr>
            </w:pPr>
            <w:r>
              <w:rPr>
                <w:sz w:val="13"/>
                <w:szCs w:val="13"/>
              </w:rPr>
              <w:t>Recommend to school that an EHC Needs A</w:t>
            </w:r>
            <w:r w:rsidR="00C55B45">
              <w:rPr>
                <w:sz w:val="13"/>
                <w:szCs w:val="13"/>
              </w:rPr>
              <w:t>ssessment is not appropriate as evidence suggests the child does not require special educational provision in link with a plan</w:t>
            </w:r>
          </w:p>
          <w:p w14:paraId="5D506134" w14:textId="0B697B99" w:rsidR="00EE2080" w:rsidRPr="00C55B45" w:rsidRDefault="00C55B45" w:rsidP="00EE2080">
            <w:pPr>
              <w:pStyle w:val="ListParagraph"/>
              <w:numPr>
                <w:ilvl w:val="0"/>
                <w:numId w:val="1"/>
              </w:numPr>
              <w:ind w:left="98" w:hanging="98"/>
              <w:rPr>
                <w:b/>
                <w:bCs/>
                <w:sz w:val="13"/>
                <w:szCs w:val="13"/>
              </w:rPr>
            </w:pPr>
            <w:r w:rsidRPr="00C55B45">
              <w:rPr>
                <w:sz w:val="13"/>
                <w:szCs w:val="13"/>
              </w:rPr>
              <w:t>Advise the school to continue further work at SEND Support to meet the child’s needs</w:t>
            </w:r>
          </w:p>
          <w:p w14:paraId="0ED27540" w14:textId="77777777" w:rsidR="0070470C" w:rsidRDefault="0070470C"/>
        </w:tc>
        <w:tc>
          <w:tcPr>
            <w:tcW w:w="238" w:type="dxa"/>
            <w:tcBorders>
              <w:top w:val="nil"/>
              <w:left w:val="single" w:sz="4" w:space="0" w:color="auto"/>
              <w:bottom w:val="nil"/>
              <w:right w:val="single" w:sz="4" w:space="0" w:color="auto"/>
            </w:tcBorders>
          </w:tcPr>
          <w:p w14:paraId="3AE8D2C5" w14:textId="77777777" w:rsidR="0070470C" w:rsidRDefault="0070470C"/>
        </w:tc>
        <w:tc>
          <w:tcPr>
            <w:tcW w:w="2522" w:type="dxa"/>
            <w:tcBorders>
              <w:top w:val="single" w:sz="4" w:space="0" w:color="auto"/>
              <w:left w:val="single" w:sz="4" w:space="0" w:color="auto"/>
              <w:bottom w:val="single" w:sz="4" w:space="0" w:color="auto"/>
              <w:right w:val="single" w:sz="4" w:space="0" w:color="auto"/>
            </w:tcBorders>
            <w:shd w:val="clear" w:color="auto" w:fill="F6C5AC" w:themeFill="accent2" w:themeFillTint="66"/>
          </w:tcPr>
          <w:p w14:paraId="3668801A" w14:textId="7CC02F98" w:rsidR="009C28B2" w:rsidRDefault="009C28B2" w:rsidP="009C28B2">
            <w:pPr>
              <w:rPr>
                <w:b/>
                <w:bCs/>
                <w:sz w:val="13"/>
                <w:szCs w:val="13"/>
              </w:rPr>
            </w:pPr>
            <w:r>
              <w:rPr>
                <w:b/>
                <w:bCs/>
                <w:sz w:val="13"/>
                <w:szCs w:val="13"/>
              </w:rPr>
              <w:t>PAPERWORK</w:t>
            </w:r>
          </w:p>
          <w:p w14:paraId="6A60B88A" w14:textId="2BF17B4C" w:rsidR="0039326F" w:rsidRPr="0039326F" w:rsidRDefault="009C28B2" w:rsidP="009C28B2">
            <w:pPr>
              <w:pStyle w:val="ListParagraph"/>
              <w:numPr>
                <w:ilvl w:val="0"/>
                <w:numId w:val="1"/>
              </w:numPr>
              <w:ind w:left="98" w:hanging="98"/>
              <w:rPr>
                <w:b/>
                <w:bCs/>
                <w:sz w:val="13"/>
                <w:szCs w:val="13"/>
              </w:rPr>
            </w:pPr>
            <w:r>
              <w:rPr>
                <w:sz w:val="13"/>
                <w:szCs w:val="13"/>
              </w:rPr>
              <w:t xml:space="preserve">Stage </w:t>
            </w:r>
            <w:r w:rsidR="00E1151A">
              <w:rPr>
                <w:sz w:val="13"/>
                <w:szCs w:val="13"/>
              </w:rPr>
              <w:t>2, Panel: Consideration for  Request to Assess for EHC Needs Assessment</w:t>
            </w:r>
            <w:r w:rsidR="0039326F">
              <w:rPr>
                <w:sz w:val="13"/>
                <w:szCs w:val="13"/>
              </w:rPr>
              <w:t xml:space="preserve"> – meeting minutes completed with clear recommendations</w:t>
            </w:r>
          </w:p>
          <w:p w14:paraId="61B8F4DA" w14:textId="434ADA2F" w:rsidR="009C28B2" w:rsidRPr="00B92BF1" w:rsidRDefault="0039326F" w:rsidP="009C28B2">
            <w:pPr>
              <w:pStyle w:val="ListParagraph"/>
              <w:numPr>
                <w:ilvl w:val="0"/>
                <w:numId w:val="1"/>
              </w:numPr>
              <w:ind w:left="98" w:hanging="98"/>
              <w:rPr>
                <w:b/>
                <w:bCs/>
                <w:sz w:val="13"/>
                <w:szCs w:val="13"/>
              </w:rPr>
            </w:pPr>
            <w:r w:rsidRPr="00914EF0">
              <w:rPr>
                <w:sz w:val="13"/>
                <w:szCs w:val="13"/>
              </w:rPr>
              <w:t>These are completed by the Lead Headteacher and shared</w:t>
            </w:r>
            <w:r w:rsidR="00914EF0" w:rsidRPr="00914EF0">
              <w:rPr>
                <w:sz w:val="13"/>
                <w:szCs w:val="13"/>
              </w:rPr>
              <w:t xml:space="preserve"> with SENCOs and the SENDSARS team. (Send to SENDSARS via Anycomms – Locality </w:t>
            </w:r>
            <w:r w:rsidR="00914EF0">
              <w:rPr>
                <w:sz w:val="13"/>
                <w:szCs w:val="13"/>
              </w:rPr>
              <w:t>Panel Documents)</w:t>
            </w:r>
          </w:p>
          <w:p w14:paraId="486C7593" w14:textId="77777777" w:rsidR="00B92BF1" w:rsidRDefault="00B92BF1" w:rsidP="00B92BF1">
            <w:pPr>
              <w:rPr>
                <w:b/>
                <w:bCs/>
                <w:sz w:val="13"/>
                <w:szCs w:val="13"/>
              </w:rPr>
            </w:pPr>
          </w:p>
          <w:p w14:paraId="509BB8A3" w14:textId="77777777" w:rsidR="00B92BF1" w:rsidRDefault="00B92BF1" w:rsidP="00B92BF1">
            <w:pPr>
              <w:rPr>
                <w:b/>
                <w:bCs/>
                <w:sz w:val="13"/>
                <w:szCs w:val="13"/>
              </w:rPr>
            </w:pPr>
          </w:p>
          <w:p w14:paraId="0AB1FD14" w14:textId="1F6F0126" w:rsidR="00B92BF1" w:rsidRPr="00B92BF1" w:rsidRDefault="00B92BF1" w:rsidP="00B92BF1">
            <w:pPr>
              <w:rPr>
                <w:sz w:val="13"/>
                <w:szCs w:val="13"/>
              </w:rPr>
            </w:pPr>
            <w:r w:rsidRPr="00B92BF1">
              <w:rPr>
                <w:sz w:val="13"/>
                <w:szCs w:val="13"/>
              </w:rPr>
              <w:t>NB:</w:t>
            </w:r>
            <w:r w:rsidR="00D32C99">
              <w:rPr>
                <w:sz w:val="13"/>
                <w:szCs w:val="13"/>
              </w:rPr>
              <w:t>Sending the meeting notes</w:t>
            </w:r>
            <w:r w:rsidR="00C65E79">
              <w:rPr>
                <w:sz w:val="13"/>
                <w:szCs w:val="13"/>
              </w:rPr>
              <w:t xml:space="preserve"> </w:t>
            </w:r>
            <w:r w:rsidR="00D32C99">
              <w:rPr>
                <w:sz w:val="13"/>
                <w:szCs w:val="13"/>
              </w:rPr>
              <w:t>to SENDSARS</w:t>
            </w:r>
            <w:r w:rsidR="00C65E79">
              <w:rPr>
                <w:sz w:val="13"/>
                <w:szCs w:val="13"/>
              </w:rPr>
              <w:t xml:space="preserve"> </w:t>
            </w:r>
            <w:r w:rsidR="00D32C99">
              <w:rPr>
                <w:sz w:val="13"/>
                <w:szCs w:val="13"/>
              </w:rPr>
              <w:t>does not start</w:t>
            </w:r>
            <w:r w:rsidR="00C65E79">
              <w:rPr>
                <w:sz w:val="13"/>
                <w:szCs w:val="13"/>
              </w:rPr>
              <w:t xml:space="preserve"> the EHC Needs Assessment </w:t>
            </w:r>
            <w:proofErr w:type="gramStart"/>
            <w:r w:rsidR="007163F0">
              <w:rPr>
                <w:sz w:val="13"/>
                <w:szCs w:val="13"/>
              </w:rPr>
              <w:t>20 week</w:t>
            </w:r>
            <w:proofErr w:type="gramEnd"/>
            <w:r w:rsidR="00C65E79">
              <w:rPr>
                <w:sz w:val="13"/>
                <w:szCs w:val="13"/>
              </w:rPr>
              <w:t xml:space="preserve"> process. Individual schools still need to </w:t>
            </w:r>
            <w:r w:rsidR="005971E8">
              <w:rPr>
                <w:sz w:val="13"/>
                <w:szCs w:val="13"/>
              </w:rPr>
              <w:t>make the request to assess.</w:t>
            </w:r>
          </w:p>
          <w:p w14:paraId="10EAA417" w14:textId="77777777" w:rsidR="0070470C" w:rsidRDefault="0070470C"/>
        </w:tc>
      </w:tr>
    </w:tbl>
    <w:p w14:paraId="4BB5793D" w14:textId="77777777" w:rsidR="00923BFD" w:rsidRDefault="00923BFD" w:rsidP="00212BCF">
      <w:pPr>
        <w:rPr>
          <w:rFonts w:ascii="Arial" w:hAnsi="Arial" w:cs="Arial"/>
          <w:b/>
          <w:sz w:val="24"/>
          <w:szCs w:val="24"/>
        </w:rPr>
      </w:pPr>
    </w:p>
    <w:p w14:paraId="7D20D175" w14:textId="409C6AAE" w:rsidR="00212BCF" w:rsidRDefault="00212BCF" w:rsidP="00212BCF">
      <w:pPr>
        <w:rPr>
          <w:rFonts w:ascii="Arial" w:hAnsi="Arial" w:cs="Arial"/>
          <w:b/>
          <w:sz w:val="24"/>
          <w:szCs w:val="24"/>
        </w:rPr>
      </w:pPr>
      <w:r>
        <w:rPr>
          <w:rFonts w:ascii="Arial" w:hAnsi="Arial" w:cs="Arial"/>
          <w:b/>
          <w:sz w:val="24"/>
          <w:szCs w:val="24"/>
        </w:rPr>
        <w:t>Guidance</w:t>
      </w:r>
    </w:p>
    <w:p w14:paraId="6F1066DE" w14:textId="77777777" w:rsidR="00212BCF" w:rsidRPr="00212BCF" w:rsidRDefault="00212BCF" w:rsidP="00212BCF">
      <w:pPr>
        <w:rPr>
          <w:rFonts w:ascii="Arial" w:hAnsi="Arial" w:cs="Arial"/>
        </w:rPr>
      </w:pPr>
      <w:r w:rsidRPr="00212BCF">
        <w:rPr>
          <w:rFonts w:ascii="Arial" w:hAnsi="Arial" w:cs="Arial"/>
        </w:rPr>
        <w:t xml:space="preserve">Schools are recommended to follow the above process when seeking additional support to meet the needs of children and young people with SEND within their school.  These processes have been designed to encourage collaborative work amongst SENCOs, families of schools, localities, Educational Psychologists and the SENDSARS team </w:t>
      </w:r>
      <w:proofErr w:type="gramStart"/>
      <w:r w:rsidRPr="00212BCF">
        <w:rPr>
          <w:rFonts w:ascii="Arial" w:hAnsi="Arial" w:cs="Arial"/>
        </w:rPr>
        <w:t>in order to</w:t>
      </w:r>
      <w:proofErr w:type="gramEnd"/>
      <w:r w:rsidRPr="00212BCF">
        <w:rPr>
          <w:rFonts w:ascii="Arial" w:hAnsi="Arial" w:cs="Arial"/>
        </w:rPr>
        <w:t xml:space="preserve"> achieve greater consistency across Sheffield.</w:t>
      </w:r>
    </w:p>
    <w:p w14:paraId="63474C1B" w14:textId="77777777" w:rsidR="00212BCF" w:rsidRPr="00212BCF" w:rsidRDefault="00212BCF" w:rsidP="00212BCF">
      <w:pPr>
        <w:rPr>
          <w:rFonts w:ascii="Arial" w:hAnsi="Arial" w:cs="Arial"/>
        </w:rPr>
      </w:pPr>
      <w:r w:rsidRPr="00212BCF">
        <w:rPr>
          <w:rFonts w:ascii="Arial" w:hAnsi="Arial" w:cs="Arial"/>
        </w:rPr>
        <w:t xml:space="preserve">The process is not a statutory one and does not start the </w:t>
      </w:r>
      <w:proofErr w:type="gramStart"/>
      <w:r w:rsidRPr="00212BCF">
        <w:rPr>
          <w:rFonts w:ascii="Arial" w:hAnsi="Arial" w:cs="Arial"/>
        </w:rPr>
        <w:t>20 week</w:t>
      </w:r>
      <w:proofErr w:type="gramEnd"/>
      <w:r w:rsidRPr="00212BCF">
        <w:rPr>
          <w:rFonts w:ascii="Arial" w:hAnsi="Arial" w:cs="Arial"/>
        </w:rPr>
        <w:t xml:space="preserve"> EHC needs assessment process.  However, the process is designed to enable schools or parents to gather essential evidence to support a request for a statutory EHC needs assessment.</w:t>
      </w:r>
    </w:p>
    <w:p w14:paraId="413F9295" w14:textId="77777777" w:rsidR="00212BCF" w:rsidRPr="00212BCF" w:rsidRDefault="00212BCF" w:rsidP="00212BCF">
      <w:pPr>
        <w:rPr>
          <w:rFonts w:ascii="Arial" w:hAnsi="Arial" w:cs="Arial"/>
        </w:rPr>
      </w:pPr>
      <w:r w:rsidRPr="00212BCF">
        <w:rPr>
          <w:rFonts w:ascii="Arial" w:hAnsi="Arial" w:cs="Arial"/>
        </w:rPr>
        <w:t xml:space="preserve">Sheffield guidance, and a checklist of information that education providers must submit when making a request for an EHC needs assessment, is available on the </w:t>
      </w:r>
      <w:hyperlink r:id="rId8" w:history="1">
        <w:r w:rsidRPr="00212BCF">
          <w:rPr>
            <w:rStyle w:val="Hyperlink"/>
            <w:rFonts w:ascii="Arial" w:hAnsi="Arial" w:cs="Arial"/>
          </w:rPr>
          <w:t>Learn Sheffield</w:t>
        </w:r>
      </w:hyperlink>
      <w:r w:rsidRPr="00212BCF">
        <w:rPr>
          <w:rFonts w:ascii="Arial" w:hAnsi="Arial" w:cs="Arial"/>
        </w:rPr>
        <w:t xml:space="preserve"> or </w:t>
      </w:r>
      <w:hyperlink r:id="rId9" w:history="1">
        <w:r w:rsidRPr="00212BCF">
          <w:rPr>
            <w:rStyle w:val="Hyperlink"/>
            <w:rFonts w:ascii="Arial" w:hAnsi="Arial" w:cs="Arial"/>
          </w:rPr>
          <w:t>Local Offer website</w:t>
        </w:r>
      </w:hyperlink>
      <w:r w:rsidRPr="00212BCF">
        <w:rPr>
          <w:rFonts w:ascii="Arial" w:hAnsi="Arial" w:cs="Arial"/>
        </w:rPr>
        <w:t>.  (Please look under the Inclusion Taskforce section of the Learn Sheffield website for guidance for professionals, and see ‘Education, Health and Care Plans – Statutory processes’).</w:t>
      </w:r>
    </w:p>
    <w:p w14:paraId="0B89CD7A" w14:textId="77777777" w:rsidR="00923BFD" w:rsidRDefault="00923BFD" w:rsidP="007960D4">
      <w:pPr>
        <w:rPr>
          <w:rFonts w:ascii="Arial" w:hAnsi="Arial" w:cs="Arial"/>
          <w:b/>
          <w:bCs/>
          <w:sz w:val="24"/>
          <w:szCs w:val="24"/>
        </w:rPr>
      </w:pPr>
    </w:p>
    <w:p w14:paraId="5B139471" w14:textId="1B078BC5" w:rsidR="007960D4" w:rsidRPr="007960D4" w:rsidRDefault="007960D4" w:rsidP="007960D4">
      <w:pPr>
        <w:rPr>
          <w:rFonts w:ascii="Arial" w:hAnsi="Arial" w:cs="Arial"/>
          <w:b/>
          <w:bCs/>
          <w:sz w:val="24"/>
          <w:szCs w:val="24"/>
        </w:rPr>
      </w:pPr>
      <w:r w:rsidRPr="007960D4">
        <w:rPr>
          <w:rFonts w:ascii="Arial" w:hAnsi="Arial" w:cs="Arial"/>
          <w:b/>
          <w:bCs/>
          <w:sz w:val="24"/>
          <w:szCs w:val="24"/>
        </w:rPr>
        <w:t>Funding</w:t>
      </w:r>
    </w:p>
    <w:p w14:paraId="19328BD8" w14:textId="77777777" w:rsidR="007960D4" w:rsidRPr="007960D4" w:rsidRDefault="007960D4" w:rsidP="00D5158C">
      <w:pPr>
        <w:spacing w:after="0" w:line="240" w:lineRule="auto"/>
        <w:rPr>
          <w:rFonts w:ascii="Arial" w:hAnsi="Arial" w:cs="Arial"/>
        </w:rPr>
      </w:pPr>
      <w:r w:rsidRPr="007960D4">
        <w:rPr>
          <w:rFonts w:ascii="Arial" w:hAnsi="Arial" w:cs="Arial"/>
        </w:rPr>
        <w:t>Please note that from until July 2025, funding decisions for level 4 and level 5 children will be made based on the following pupil funding levels:</w:t>
      </w:r>
    </w:p>
    <w:p w14:paraId="432B9A50" w14:textId="77777777" w:rsidR="007960D4" w:rsidRPr="007960D4" w:rsidRDefault="007960D4" w:rsidP="00D5158C">
      <w:pPr>
        <w:numPr>
          <w:ilvl w:val="0"/>
          <w:numId w:val="3"/>
        </w:numPr>
        <w:spacing w:after="0" w:line="240" w:lineRule="auto"/>
        <w:rPr>
          <w:rFonts w:ascii="Arial" w:hAnsi="Arial" w:cs="Arial"/>
        </w:rPr>
      </w:pPr>
      <w:r w:rsidRPr="007960D4">
        <w:rPr>
          <w:rFonts w:ascii="Arial" w:hAnsi="Arial" w:cs="Arial"/>
        </w:rPr>
        <w:t>Pupils at Level 4: block funding of £1,000 per pupil</w:t>
      </w:r>
    </w:p>
    <w:p w14:paraId="7ACBB56B" w14:textId="15313EC8" w:rsidR="007960D4" w:rsidRPr="007960D4" w:rsidRDefault="007960D4" w:rsidP="00D5158C">
      <w:pPr>
        <w:numPr>
          <w:ilvl w:val="0"/>
          <w:numId w:val="3"/>
        </w:numPr>
        <w:spacing w:after="0" w:line="240" w:lineRule="auto"/>
        <w:rPr>
          <w:rFonts w:ascii="Arial" w:hAnsi="Arial" w:cs="Arial"/>
        </w:rPr>
      </w:pPr>
      <w:r w:rsidRPr="007960D4">
        <w:rPr>
          <w:rFonts w:ascii="Arial" w:hAnsi="Arial" w:cs="Arial"/>
        </w:rPr>
        <w:t>Pupils at Level 5: block funding of</w:t>
      </w:r>
      <w:r w:rsidR="00340202">
        <w:rPr>
          <w:rFonts w:ascii="Arial" w:hAnsi="Arial" w:cs="Arial"/>
        </w:rPr>
        <w:t xml:space="preserve"> </w:t>
      </w:r>
      <w:r w:rsidRPr="007960D4">
        <w:rPr>
          <w:rFonts w:ascii="Arial" w:hAnsi="Arial" w:cs="Arial"/>
        </w:rPr>
        <w:t>£3,000 per pupil</w:t>
      </w:r>
    </w:p>
    <w:p w14:paraId="29CC143D" w14:textId="77777777" w:rsidR="00340202" w:rsidRDefault="00340202" w:rsidP="00D5158C">
      <w:pPr>
        <w:spacing w:after="0" w:line="240" w:lineRule="auto"/>
        <w:rPr>
          <w:rFonts w:ascii="Arial" w:hAnsi="Arial" w:cs="Arial"/>
        </w:rPr>
      </w:pPr>
    </w:p>
    <w:p w14:paraId="73FBB936" w14:textId="28E30F3B" w:rsidR="007960D4" w:rsidRPr="007960D4" w:rsidRDefault="007960D4" w:rsidP="00D5158C">
      <w:pPr>
        <w:spacing w:after="0" w:line="240" w:lineRule="auto"/>
        <w:rPr>
          <w:rFonts w:ascii="Arial" w:hAnsi="Arial" w:cs="Arial"/>
        </w:rPr>
      </w:pPr>
      <w:r w:rsidRPr="007960D4">
        <w:rPr>
          <w:rFonts w:ascii="Arial" w:hAnsi="Arial" w:cs="Arial"/>
        </w:rPr>
        <w:t>Funding decisions can be made at stage one, stage two or via a locality funding panel, depending on the arrangements already in place in each locality.</w:t>
      </w:r>
    </w:p>
    <w:p w14:paraId="739EA9C0" w14:textId="77777777" w:rsidR="00340202" w:rsidRDefault="00340202" w:rsidP="00D5158C">
      <w:pPr>
        <w:spacing w:after="0" w:line="240" w:lineRule="auto"/>
        <w:rPr>
          <w:rFonts w:ascii="Arial" w:hAnsi="Arial" w:cs="Arial"/>
        </w:rPr>
      </w:pPr>
    </w:p>
    <w:p w14:paraId="1AFD49D3" w14:textId="39A46AB6" w:rsidR="007960D4" w:rsidRPr="007960D4" w:rsidRDefault="007960D4" w:rsidP="00D5158C">
      <w:pPr>
        <w:spacing w:after="0" w:line="240" w:lineRule="auto"/>
        <w:rPr>
          <w:rFonts w:ascii="Arial" w:hAnsi="Arial" w:cs="Arial"/>
        </w:rPr>
      </w:pPr>
      <w:r w:rsidRPr="007960D4">
        <w:rPr>
          <w:rFonts w:ascii="Arial" w:hAnsi="Arial" w:cs="Arial"/>
        </w:rPr>
        <w:t>Please contact your locality lead head teacher if you have any questions about the process.</w:t>
      </w:r>
    </w:p>
    <w:p w14:paraId="4ADC5692" w14:textId="77777777" w:rsidR="0070470C" w:rsidRDefault="0070470C"/>
    <w:sectPr w:rsidR="0070470C" w:rsidSect="00FE5037">
      <w:pgSz w:w="16838" w:h="11906" w:orient="landscape"/>
      <w:pgMar w:top="426" w:right="1440" w:bottom="567" w:left="1440" w:header="708"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C506" w14:textId="77777777" w:rsidR="00FE5037" w:rsidRDefault="00FE5037" w:rsidP="00FE5037">
      <w:pPr>
        <w:spacing w:after="0" w:line="240" w:lineRule="auto"/>
      </w:pPr>
      <w:r>
        <w:separator/>
      </w:r>
    </w:p>
  </w:endnote>
  <w:endnote w:type="continuationSeparator" w:id="0">
    <w:p w14:paraId="288D2C97" w14:textId="77777777" w:rsidR="00FE5037" w:rsidRDefault="00FE5037" w:rsidP="00FE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D748" w14:textId="77777777" w:rsidR="00FE5037" w:rsidRDefault="00FE5037" w:rsidP="00FE5037">
      <w:pPr>
        <w:spacing w:after="0" w:line="240" w:lineRule="auto"/>
      </w:pPr>
      <w:r>
        <w:separator/>
      </w:r>
    </w:p>
  </w:footnote>
  <w:footnote w:type="continuationSeparator" w:id="0">
    <w:p w14:paraId="53D4414A" w14:textId="77777777" w:rsidR="00FE5037" w:rsidRDefault="00FE5037" w:rsidP="00FE5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FBE"/>
    <w:multiLevelType w:val="hybridMultilevel"/>
    <w:tmpl w:val="B2E4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2615C6"/>
    <w:multiLevelType w:val="hybridMultilevel"/>
    <w:tmpl w:val="C5027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5D7D69"/>
    <w:multiLevelType w:val="hybridMultilevel"/>
    <w:tmpl w:val="EB1C2A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073814720">
    <w:abstractNumId w:val="1"/>
  </w:num>
  <w:num w:numId="2" w16cid:durableId="216548608">
    <w:abstractNumId w:val="2"/>
  </w:num>
  <w:num w:numId="3" w16cid:durableId="6046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0C"/>
    <w:rsid w:val="00024AC6"/>
    <w:rsid w:val="000A141F"/>
    <w:rsid w:val="000A7233"/>
    <w:rsid w:val="000D5AE6"/>
    <w:rsid w:val="000E6612"/>
    <w:rsid w:val="00125F9E"/>
    <w:rsid w:val="001526BE"/>
    <w:rsid w:val="00153438"/>
    <w:rsid w:val="001578FF"/>
    <w:rsid w:val="001A3966"/>
    <w:rsid w:val="001B15C4"/>
    <w:rsid w:val="001B1787"/>
    <w:rsid w:val="00212BCF"/>
    <w:rsid w:val="002C7E40"/>
    <w:rsid w:val="002F6B78"/>
    <w:rsid w:val="00340202"/>
    <w:rsid w:val="003837EF"/>
    <w:rsid w:val="00390FB1"/>
    <w:rsid w:val="0039326F"/>
    <w:rsid w:val="003C0F53"/>
    <w:rsid w:val="00463420"/>
    <w:rsid w:val="00472A50"/>
    <w:rsid w:val="004A2E0C"/>
    <w:rsid w:val="004A4499"/>
    <w:rsid w:val="0059510D"/>
    <w:rsid w:val="005971E8"/>
    <w:rsid w:val="005C78AA"/>
    <w:rsid w:val="005E0513"/>
    <w:rsid w:val="00666672"/>
    <w:rsid w:val="006821A7"/>
    <w:rsid w:val="006E017C"/>
    <w:rsid w:val="0070470C"/>
    <w:rsid w:val="0071153D"/>
    <w:rsid w:val="00713B89"/>
    <w:rsid w:val="007163F0"/>
    <w:rsid w:val="00774D2F"/>
    <w:rsid w:val="007960D4"/>
    <w:rsid w:val="007B26DE"/>
    <w:rsid w:val="00820DCB"/>
    <w:rsid w:val="008A0996"/>
    <w:rsid w:val="00914EF0"/>
    <w:rsid w:val="00923BFD"/>
    <w:rsid w:val="0099422E"/>
    <w:rsid w:val="009B4CB3"/>
    <w:rsid w:val="009C28B2"/>
    <w:rsid w:val="009D7815"/>
    <w:rsid w:val="00A90194"/>
    <w:rsid w:val="00A96448"/>
    <w:rsid w:val="00AB495E"/>
    <w:rsid w:val="00AB63F4"/>
    <w:rsid w:val="00AD3A1A"/>
    <w:rsid w:val="00AF18B5"/>
    <w:rsid w:val="00B60963"/>
    <w:rsid w:val="00B81873"/>
    <w:rsid w:val="00B92BF1"/>
    <w:rsid w:val="00BC5039"/>
    <w:rsid w:val="00BE79F6"/>
    <w:rsid w:val="00C30886"/>
    <w:rsid w:val="00C452F1"/>
    <w:rsid w:val="00C55B45"/>
    <w:rsid w:val="00C65A66"/>
    <w:rsid w:val="00C65E79"/>
    <w:rsid w:val="00C761E2"/>
    <w:rsid w:val="00C8455B"/>
    <w:rsid w:val="00CB5336"/>
    <w:rsid w:val="00CE2F8D"/>
    <w:rsid w:val="00D02675"/>
    <w:rsid w:val="00D15820"/>
    <w:rsid w:val="00D32C99"/>
    <w:rsid w:val="00D5158C"/>
    <w:rsid w:val="00D816C4"/>
    <w:rsid w:val="00D969AF"/>
    <w:rsid w:val="00DC2EE0"/>
    <w:rsid w:val="00DE4625"/>
    <w:rsid w:val="00DF3DB1"/>
    <w:rsid w:val="00E013A2"/>
    <w:rsid w:val="00E1151A"/>
    <w:rsid w:val="00E155FA"/>
    <w:rsid w:val="00E20D6F"/>
    <w:rsid w:val="00E405E4"/>
    <w:rsid w:val="00E542F7"/>
    <w:rsid w:val="00EC5FC5"/>
    <w:rsid w:val="00EE2080"/>
    <w:rsid w:val="00EF1DD4"/>
    <w:rsid w:val="00F04087"/>
    <w:rsid w:val="00F23F65"/>
    <w:rsid w:val="00F460D1"/>
    <w:rsid w:val="00F77424"/>
    <w:rsid w:val="00FE5037"/>
    <w:rsid w:val="00FF0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12FB0"/>
  <w15:chartTrackingRefBased/>
  <w15:docId w15:val="{59FA85D3-08BA-484E-A319-F9BCCB7F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4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4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4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4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47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7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7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7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4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4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4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4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4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70C"/>
    <w:rPr>
      <w:rFonts w:eastAsiaTheme="majorEastAsia" w:cstheme="majorBidi"/>
      <w:color w:val="272727" w:themeColor="text1" w:themeTint="D8"/>
    </w:rPr>
  </w:style>
  <w:style w:type="paragraph" w:styleId="Title">
    <w:name w:val="Title"/>
    <w:basedOn w:val="Normal"/>
    <w:next w:val="Normal"/>
    <w:link w:val="TitleChar"/>
    <w:uiPriority w:val="10"/>
    <w:qFormat/>
    <w:rsid w:val="00704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7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70C"/>
    <w:pPr>
      <w:spacing w:before="160"/>
      <w:jc w:val="center"/>
    </w:pPr>
    <w:rPr>
      <w:i/>
      <w:iCs/>
      <w:color w:val="404040" w:themeColor="text1" w:themeTint="BF"/>
    </w:rPr>
  </w:style>
  <w:style w:type="character" w:customStyle="1" w:styleId="QuoteChar">
    <w:name w:val="Quote Char"/>
    <w:basedOn w:val="DefaultParagraphFont"/>
    <w:link w:val="Quote"/>
    <w:uiPriority w:val="29"/>
    <w:rsid w:val="0070470C"/>
    <w:rPr>
      <w:i/>
      <w:iCs/>
      <w:color w:val="404040" w:themeColor="text1" w:themeTint="BF"/>
    </w:rPr>
  </w:style>
  <w:style w:type="paragraph" w:styleId="ListParagraph">
    <w:name w:val="List Paragraph"/>
    <w:basedOn w:val="Normal"/>
    <w:uiPriority w:val="34"/>
    <w:qFormat/>
    <w:rsid w:val="0070470C"/>
    <w:pPr>
      <w:ind w:left="720"/>
      <w:contextualSpacing/>
    </w:pPr>
  </w:style>
  <w:style w:type="character" w:styleId="IntenseEmphasis">
    <w:name w:val="Intense Emphasis"/>
    <w:basedOn w:val="DefaultParagraphFont"/>
    <w:uiPriority w:val="21"/>
    <w:qFormat/>
    <w:rsid w:val="0070470C"/>
    <w:rPr>
      <w:i/>
      <w:iCs/>
      <w:color w:val="0F4761" w:themeColor="accent1" w:themeShade="BF"/>
    </w:rPr>
  </w:style>
  <w:style w:type="paragraph" w:styleId="IntenseQuote">
    <w:name w:val="Intense Quote"/>
    <w:basedOn w:val="Normal"/>
    <w:next w:val="Normal"/>
    <w:link w:val="IntenseQuoteChar"/>
    <w:uiPriority w:val="30"/>
    <w:qFormat/>
    <w:rsid w:val="00704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470C"/>
    <w:rPr>
      <w:i/>
      <w:iCs/>
      <w:color w:val="0F4761" w:themeColor="accent1" w:themeShade="BF"/>
    </w:rPr>
  </w:style>
  <w:style w:type="character" w:styleId="IntenseReference">
    <w:name w:val="Intense Reference"/>
    <w:basedOn w:val="DefaultParagraphFont"/>
    <w:uiPriority w:val="32"/>
    <w:qFormat/>
    <w:rsid w:val="0070470C"/>
    <w:rPr>
      <w:b/>
      <w:bCs/>
      <w:smallCaps/>
      <w:color w:val="0F4761" w:themeColor="accent1" w:themeShade="BF"/>
      <w:spacing w:val="5"/>
    </w:rPr>
  </w:style>
  <w:style w:type="table" w:styleId="TableGrid">
    <w:name w:val="Table Grid"/>
    <w:basedOn w:val="TableNormal"/>
    <w:uiPriority w:val="39"/>
    <w:rsid w:val="00704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037"/>
  </w:style>
  <w:style w:type="paragraph" w:styleId="Footer">
    <w:name w:val="footer"/>
    <w:basedOn w:val="Normal"/>
    <w:link w:val="FooterChar"/>
    <w:uiPriority w:val="99"/>
    <w:unhideWhenUsed/>
    <w:rsid w:val="00FE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037"/>
  </w:style>
  <w:style w:type="character" w:styleId="Hyperlink">
    <w:name w:val="Hyperlink"/>
    <w:basedOn w:val="DefaultParagraphFont"/>
    <w:uiPriority w:val="99"/>
    <w:unhideWhenUsed/>
    <w:rsid w:val="00212BC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602742">
      <w:bodyDiv w:val="1"/>
      <w:marLeft w:val="0"/>
      <w:marRight w:val="0"/>
      <w:marTop w:val="0"/>
      <w:marBottom w:val="0"/>
      <w:divBdr>
        <w:top w:val="none" w:sz="0" w:space="0" w:color="auto"/>
        <w:left w:val="none" w:sz="0" w:space="0" w:color="auto"/>
        <w:bottom w:val="none" w:sz="0" w:space="0" w:color="auto"/>
        <w:right w:val="none" w:sz="0" w:space="0" w:color="auto"/>
      </w:divBdr>
    </w:div>
    <w:div w:id="21085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sheffield.co.uk/Document-Archive/Inclusion-Taskfor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effielddirectory.org.uk/kb5/sheffield/directory/advice.page?id=1rNIu076E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Edmonds</dc:creator>
  <cp:keywords/>
  <dc:description/>
  <cp:lastModifiedBy>Evelyn Priestley</cp:lastModifiedBy>
  <cp:revision>80</cp:revision>
  <cp:lastPrinted>2025-02-26T16:20:00Z</cp:lastPrinted>
  <dcterms:created xsi:type="dcterms:W3CDTF">2025-02-26T10:19:00Z</dcterms:created>
  <dcterms:modified xsi:type="dcterms:W3CDTF">2025-02-26T16:29:00Z</dcterms:modified>
</cp:coreProperties>
</file>